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发改委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发改委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发改委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发改委201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发改委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1、研究提出全县国民经济和社会发展战略、经济发展总量、发展速度和结构调整的预期目标及政策措施,编制中长期发展规划。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2、研究提出全县固定资产投资规模、结构和资金来源、资金投向及投资政策措施,规划重点项目布局,编制重点项目规划。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3、编制全县财政统筹、自筹资金年度投资计划,安排财政性建设资金、政府性各种专项建设基金以及向上争取的各种补助资金。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4、指导和补助监督上述资金的使用方向;安排政府拨款项目,引导民间投资。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5、审批和申报基本建设项目。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6、管理和监督国债项目、上级管理的重点项目和县内重点项目。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7、协调和指导全县重点工程的招投标工作。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8、物价监督。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9、粮食监督。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10、组织全县工业领域节能降耗的综合协调工作。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11、统筹协调推进全县信息化产业工作,推进信息化和工业化融合发展。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发改委、工信局、粮食局、物价局、项管中心、受援办、基建办、评审中心。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发改委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发改委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本年收入为2070000元，上年为3350000元，增加-38.21%，增长原因为：项目减少，无追加资金。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本年支出为1891174.54元，上年为3350000元，增加-43.55%，增长原因为：项目减少，无追加资金。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本年度机关运行经费共计102111.94元，上年度23690元，增加331.03%，主要原因是：计算方式发生变化。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截止2018年末，本单位无公务用车，公务用车为政府后勤服务中心统管，本年度无新增车辆。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公务车辆运行维护费21802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1C527645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5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2019-03-26T05:12:18Z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