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政府办</w:t>
      </w:r>
      <w:r>
        <w:rPr>
          <w:rFonts w:hint="eastAsia" w:ascii="黑体" w:eastAsia="黑体"/>
          <w:b/>
          <w:sz w:val="52"/>
          <w:szCs w:val="52"/>
          <w:lang w:eastAsia="zh-CN"/>
        </w:rPr>
        <w:t>2019</w:t>
      </w:r>
      <w:r>
        <w:rPr>
          <w:rFonts w:hint="eastAsia" w:ascii="黑体" w:eastAsia="黑体"/>
          <w:b/>
          <w:sz w:val="52"/>
          <w:szCs w:val="52"/>
        </w:rPr>
        <w:t>年度部门预算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  <w:lang w:eastAsia="zh-CN"/>
        </w:rPr>
        <w:t>2019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>2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第一部分  政府办概况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第二部分  政府办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第三部分  政府办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年度部门预算数据分析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政府办概况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后勤服务中心、编译局、方志办、信访局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1.负责县政府会议和政府领导重要活动的组织安排，协助县政府领导组织实施会议决定事项。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2.负责组织起草或审核以县政府、政府办公室名义发布的公文和政府领导讲话。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3.研究县政府各部门和各乡（镇）人民政府请示县政府的事项，提出审核意见，报县政府领导审批。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4.根据县政府领导的指示，对政府各部门之间出现的争议问题，提出处理意见，报县政府领导决策。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5.综合协调银行、保险等金融工作，跟踪了解和调查研究全县金融运行情况，并提出政策建议。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6.督促检查政府各部门和各乡（镇）人民政府对县政府决定事项及政府领导指示的贯彻落实情况，及时向县政府领导同志报告。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7.负责县政府值班工作，及时报告重要情况，传达和督促落实县政府领导指示。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8.负责对县人大代表、政协委员提交的建议、意见、议案、提案的督办工作。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9.指导、监督全县政府信息公开工作。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10.负责县政府驻外人员的管理工作。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11.负责机关后勤服务中心的管理工作。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12.负责依法行政和政府法制建设工作，监督检查行政机关法律、法规、规章的出台、贯彻执行情况。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13.负责上级工作组、来宾的接待服务工作。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14.负责指导全县突发公共事件应急体系、应急信息平台建设。组织编制全县突发公共事件总体应急预案；检查指导各乡（镇）和县直有关部门应急预案的编制、修订和实施，审核各部门专项应急预案。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15.承办县政府和政府领导交办的其他事项。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后勤服务中心、编译局、方志办、信访局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政府办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年度预算明细表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政府办</w:t>
      </w:r>
      <w:r>
        <w:rPr>
          <w:rFonts w:hint="eastAsia" w:ascii="黑体" w:hAnsi="宋体" w:eastAsia="黑体"/>
          <w:sz w:val="44"/>
          <w:szCs w:val="44"/>
          <w:lang w:eastAsia="zh-CN"/>
        </w:rPr>
        <w:t>2019</w:t>
      </w:r>
      <w:r>
        <w:rPr>
          <w:rFonts w:hint="eastAsia" w:ascii="黑体" w:hAnsi="宋体" w:eastAsia="黑体"/>
          <w:sz w:val="44"/>
          <w:szCs w:val="44"/>
        </w:rPr>
        <w:t>年度部门预算数据分析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年度财政拨款收支预算情况总体说明。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" w:cs="宋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</w:rPr>
        <w:t>年预算安排的总财力为504.84</w:t>
      </w:r>
      <w:r>
        <w:rPr>
          <w:rFonts w:hint="eastAsia" w:ascii="仿宋" w:hAnsi="仿宋" w:eastAsia="仿宋" w:cs="仿宋"/>
          <w:sz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年度一般公共预算当年财政拨款情况说明。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（一）一般公共预算当年财政拨款规模较201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sz w:val="32"/>
          <w:szCs w:val="32"/>
        </w:rPr>
        <w:t>年度一般公共预算拨款规模有所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sz w:val="32"/>
          <w:szCs w:val="32"/>
        </w:rPr>
        <w:t>，与上年预算数相比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4189.14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万元（全县部分专项支出预算调至预算股，细化预算）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（二）一般公共服务支出</w:t>
      </w:r>
      <w:r>
        <w:rPr>
          <w:rFonts w:hint="eastAsia" w:ascii="仿宋" w:hAnsi="仿宋" w:eastAsia="仿宋" w:cs="仿宋"/>
          <w:sz w:val="32"/>
        </w:rPr>
        <w:t>504.84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（三）一般公共预算当年财政拨款具体使用情况。</w:t>
      </w:r>
    </w:p>
    <w:p>
      <w:pPr>
        <w:pStyle w:val="9"/>
        <w:numPr>
          <w:ilvl w:val="0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2010301行政运行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447.84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pStyle w:val="9"/>
        <w:numPr>
          <w:ilvl w:val="0"/>
          <w:numId w:val="1"/>
        </w:numPr>
        <w:spacing w:line="560" w:lineRule="exact"/>
        <w:ind w:left="0"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2010399其他政府办公厅（室）及相关机构事务支出</w:t>
      </w:r>
      <w:r>
        <w:rPr>
          <w:rFonts w:hint="eastAsia" w:ascii="仿宋_GB2312" w:hAnsi="宋体" w:eastAsia="仿宋_GB2312" w:cs="宋体"/>
          <w:sz w:val="32"/>
          <w:szCs w:val="32"/>
        </w:rPr>
        <w:tab/>
      </w:r>
      <w:r>
        <w:rPr>
          <w:rFonts w:hint="eastAsia" w:ascii="仿宋_GB2312" w:hAnsi="宋体" w:eastAsia="仿宋_GB2312" w:cs="宋体"/>
          <w:sz w:val="32"/>
          <w:szCs w:val="32"/>
        </w:rPr>
        <w:t>57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年度一般公共预算基本支出情况说明。</w:t>
      </w:r>
    </w:p>
    <w:p>
      <w:pPr>
        <w:spacing w:line="560" w:lineRule="exact"/>
        <w:ind w:firstLine="627" w:firstLineChars="196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公用经费为58.34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：其中，办公费9.11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、印刷费3.04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、手续费3.04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、水费0.29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、电费0.8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、邮电费2.47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、差旅费12.14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、公务车辆运行维护费12.14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、维修（护）费9.11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、福利费0.13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、其他商品与服务支出6.07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般公共预算</w:t>
      </w:r>
      <w:r>
        <w:rPr>
          <w:rFonts w:hint="eastAsia" w:ascii="黑体" w:hAnsi="宋体" w:eastAsia="黑体"/>
          <w:sz w:val="32"/>
          <w:szCs w:val="32"/>
        </w:rPr>
        <w:t>“三公”经费预算情况说明。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公务车辆运行维护费12.14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五、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年度政府性基金预算支出情况说明。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我部门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</w:t>
      </w:r>
      <w:r>
        <w:rPr>
          <w:rFonts w:ascii="仿宋_GB2312" w:hAnsi="宋体" w:eastAsia="仿宋_GB2312" w:cs="宋体"/>
          <w:sz w:val="32"/>
          <w:szCs w:val="32"/>
        </w:rPr>
        <w:t>没有使用政府性基金安排的支出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六、</w:t>
      </w:r>
      <w:r>
        <w:rPr>
          <w:rFonts w:hint="eastAsia" w:ascii="黑体" w:hAnsi="宋体" w:eastAsia="黑体"/>
          <w:sz w:val="32"/>
          <w:szCs w:val="32"/>
          <w:lang w:eastAsia="zh-CN"/>
        </w:rPr>
        <w:t>2019</w:t>
      </w:r>
      <w:r>
        <w:rPr>
          <w:rFonts w:hint="eastAsia" w:ascii="黑体" w:hAnsi="宋体" w:eastAsia="黑体"/>
          <w:sz w:val="32"/>
          <w:szCs w:val="32"/>
        </w:rPr>
        <w:t>年度收支预算情况总体说明。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年度，申扎县政府办收支预算总体情况主要有以下几点：工资福利支出389.5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；商品和服务支出58.34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七、关</w:t>
      </w:r>
      <w:r>
        <w:rPr>
          <w:rFonts w:ascii="黑体" w:hAnsi="宋体" w:eastAsia="黑体"/>
          <w:sz w:val="32"/>
          <w:szCs w:val="32"/>
        </w:rPr>
        <w:t>于部门收入总表的说明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年度，申扎县政府办收入为国库拨款。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八</w:t>
      </w:r>
      <w:r>
        <w:rPr>
          <w:rFonts w:ascii="黑体" w:hAnsi="宋体" w:eastAsia="黑体"/>
          <w:sz w:val="32"/>
          <w:szCs w:val="32"/>
        </w:rPr>
        <w:t>、关于部门支出总表的说明</w:t>
      </w:r>
      <w:r>
        <w:rPr>
          <w:rFonts w:hint="eastAsia" w:ascii="黑体" w:hAnsi="宋体" w:eastAsia="黑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2019</w:t>
      </w:r>
      <w:r>
        <w:rPr>
          <w:rFonts w:hint="eastAsia" w:ascii="仿宋_GB2312" w:hAnsi="宋体" w:eastAsia="仿宋_GB2312" w:cs="宋体"/>
          <w:sz w:val="32"/>
          <w:szCs w:val="32"/>
        </w:rPr>
        <w:t>年度，申扎县政府办收支预算总体情况主要有以下几点：工资福利支出389.5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；商品和服务支出58.34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九、其他重要事项的情况说明。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（一）机关</w:t>
      </w:r>
      <w:r>
        <w:rPr>
          <w:rFonts w:ascii="仿宋_GB2312" w:hAnsi="宋体" w:eastAsia="仿宋_GB2312" w:cs="宋体"/>
          <w:sz w:val="32"/>
          <w:szCs w:val="32"/>
        </w:rPr>
        <w:t>运行经费安排使用情况说明。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机关运行经费为58.34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：其中，办公费9.11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、印刷费3.04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、手续费3.04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、水费0.29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、电费0.8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、邮电费2.47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、差旅费12.14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、公务车辆运行维护费12.14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、维修（护）费9.11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、福利费0.13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  <w:r>
        <w:rPr>
          <w:rFonts w:hint="eastAsia" w:ascii="仿宋_GB2312" w:hAnsi="宋体" w:eastAsia="仿宋_GB2312" w:cs="宋体"/>
          <w:sz w:val="32"/>
          <w:szCs w:val="32"/>
        </w:rPr>
        <w:t>、其他商品与服务支出6.07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万元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（二</w:t>
      </w:r>
      <w:r>
        <w:rPr>
          <w:rFonts w:ascii="仿宋_GB2312" w:hAnsi="宋体" w:eastAsia="仿宋_GB2312" w:cs="宋体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政府采购情况说明。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2019年我县政府采购预算总额为100万元。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</w:rPr>
        <w:t>（三）国有资产占有使用情况说明。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2019年未安排购置公务用车及专用设备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（四）预算绩效情况说明。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2019年绩效目标实现全覆盖涉及一般公共预算当年拨款总额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（五）举借债务情况总体说明。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截止至2018年末，本单位无债务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8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A57CF"/>
    <w:multiLevelType w:val="multilevel"/>
    <w:tmpl w:val="514A57CF"/>
    <w:lvl w:ilvl="0" w:tentative="0">
      <w:start w:val="1"/>
      <w:numFmt w:val="decimal"/>
      <w:lvlText w:val="%1."/>
      <w:lvlJc w:val="left"/>
      <w:pPr>
        <w:ind w:left="1684" w:hanging="420"/>
      </w:pPr>
    </w:lvl>
    <w:lvl w:ilvl="1" w:tentative="0">
      <w:start w:val="1"/>
      <w:numFmt w:val="lowerLetter"/>
      <w:lvlText w:val="%2)"/>
      <w:lvlJc w:val="left"/>
      <w:pPr>
        <w:ind w:left="2104" w:hanging="420"/>
      </w:pPr>
    </w:lvl>
    <w:lvl w:ilvl="2" w:tentative="0">
      <w:start w:val="1"/>
      <w:numFmt w:val="lowerRoman"/>
      <w:lvlText w:val="%3."/>
      <w:lvlJc w:val="right"/>
      <w:pPr>
        <w:ind w:left="2524" w:hanging="420"/>
      </w:pPr>
    </w:lvl>
    <w:lvl w:ilvl="3" w:tentative="0">
      <w:start w:val="1"/>
      <w:numFmt w:val="decimal"/>
      <w:lvlText w:val="%4."/>
      <w:lvlJc w:val="left"/>
      <w:pPr>
        <w:ind w:left="2944" w:hanging="420"/>
      </w:pPr>
    </w:lvl>
    <w:lvl w:ilvl="4" w:tentative="0">
      <w:start w:val="1"/>
      <w:numFmt w:val="lowerLetter"/>
      <w:lvlText w:val="%5)"/>
      <w:lvlJc w:val="left"/>
      <w:pPr>
        <w:ind w:left="3364" w:hanging="420"/>
      </w:pPr>
    </w:lvl>
    <w:lvl w:ilvl="5" w:tentative="0">
      <w:start w:val="1"/>
      <w:numFmt w:val="lowerRoman"/>
      <w:lvlText w:val="%6."/>
      <w:lvlJc w:val="right"/>
      <w:pPr>
        <w:ind w:left="3784" w:hanging="420"/>
      </w:pPr>
    </w:lvl>
    <w:lvl w:ilvl="6" w:tentative="0">
      <w:start w:val="1"/>
      <w:numFmt w:val="decimal"/>
      <w:lvlText w:val="%7."/>
      <w:lvlJc w:val="left"/>
      <w:pPr>
        <w:ind w:left="4204" w:hanging="420"/>
      </w:pPr>
    </w:lvl>
    <w:lvl w:ilvl="7" w:tentative="0">
      <w:start w:val="1"/>
      <w:numFmt w:val="lowerLetter"/>
      <w:lvlText w:val="%8)"/>
      <w:lvlJc w:val="left"/>
      <w:pPr>
        <w:ind w:left="4624" w:hanging="420"/>
      </w:pPr>
    </w:lvl>
    <w:lvl w:ilvl="8" w:tentative="0">
      <w:start w:val="1"/>
      <w:numFmt w:val="lowerRoman"/>
      <w:lvlText w:val="%9."/>
      <w:lvlJc w:val="right"/>
      <w:pPr>
        <w:ind w:left="504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525A5F"/>
    <w:rsid w:val="005978A7"/>
    <w:rsid w:val="0061516F"/>
    <w:rsid w:val="00634EE7"/>
    <w:rsid w:val="008C1747"/>
    <w:rsid w:val="00927021"/>
    <w:rsid w:val="0094056C"/>
    <w:rsid w:val="00A65C56"/>
    <w:rsid w:val="00AA1BA1"/>
    <w:rsid w:val="00AD34B6"/>
    <w:rsid w:val="00AD58CE"/>
    <w:rsid w:val="00BD3F16"/>
    <w:rsid w:val="00C14654"/>
    <w:rsid w:val="00C97B95"/>
    <w:rsid w:val="00CC7794"/>
    <w:rsid w:val="00CF7F35"/>
    <w:rsid w:val="00D06FF1"/>
    <w:rsid w:val="00D26FA7"/>
    <w:rsid w:val="00D86FAA"/>
    <w:rsid w:val="00DF6024"/>
    <w:rsid w:val="00F11659"/>
    <w:rsid w:val="27D568AA"/>
    <w:rsid w:val="2E4B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416</Words>
  <Characters>2376</Characters>
  <Lines>19</Lines>
  <Paragraphs>5</Paragraphs>
  <TotalTime>0</TotalTime>
  <ScaleCrop>false</ScaleCrop>
  <LinksUpToDate>false</LinksUpToDate>
  <CharactersWithSpaces>2787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2018-06-01T07:25:00Z</dcterms:created>
  <dc:creator>Administrator</dc:creator>
  <cp:lastModifiedBy>Administrator</cp:lastModifiedBy>
  <dcterms:modified xsi:type="dcterms:W3CDTF">2019-03-25T17:17:45Z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