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水利局</w:t>
      </w:r>
      <w:r>
        <w:rPr>
          <w:rFonts w:hint="eastAsia" w:ascii="黑体" w:eastAsia="黑体"/>
          <w:b/>
          <w:sz w:val="52"/>
          <w:szCs w:val="52"/>
          <w:lang w:eastAsia="zh-CN"/>
        </w:rPr>
        <w:t>2019</w:t>
      </w:r>
      <w:r>
        <w:rPr>
          <w:rFonts w:hint="eastAsia" w:ascii="黑体" w:eastAsia="黑体"/>
          <w:b/>
          <w:sz w:val="52"/>
          <w:szCs w:val="52"/>
        </w:rPr>
        <w:t>年度部门预算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  <w:lang w:eastAsia="zh-CN"/>
        </w:rPr>
        <w:t>2019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>0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>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目  录</w:t>
      </w:r>
    </w:p>
    <w:p>
      <w:pPr>
        <w:spacing w:line="460" w:lineRule="exact"/>
        <w:rPr>
          <w:rFonts w:ascii="宋体" w:hAnsi="宋体"/>
          <w:b/>
          <w:sz w:val="40"/>
          <w:szCs w:val="40"/>
        </w:rPr>
      </w:pPr>
    </w:p>
    <w:p>
      <w:pPr>
        <w:spacing w:before="312" w:beforeLines="100" w:after="312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水利局概况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一、部门预算单位构成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二、部门职责和机构设置</w:t>
      </w:r>
    </w:p>
    <w:p>
      <w:pPr>
        <w:spacing w:before="312" w:beforeLines="100" w:after="312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 水利局</w:t>
      </w:r>
      <w:r>
        <w:rPr>
          <w:rFonts w:hint="eastAsia" w:ascii="黑体" w:hAnsi="宋体" w:eastAsia="黑体"/>
          <w:sz w:val="32"/>
          <w:szCs w:val="32"/>
          <w:lang w:eastAsia="zh-CN"/>
        </w:rPr>
        <w:t>2019</w:t>
      </w:r>
      <w:r>
        <w:rPr>
          <w:rFonts w:hint="eastAsia" w:ascii="黑体" w:hAnsi="宋体" w:eastAsia="黑体"/>
          <w:sz w:val="32"/>
          <w:szCs w:val="32"/>
        </w:rPr>
        <w:t>年度部门预算明细表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一、财政拨款收支总表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二、一般公共预算支出表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三、一般公共预算基本支出表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四、一般公共预算“三公”经费支出表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五、政府性基金预算支出表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六、部门收支总表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七、部门收入总表</w:t>
      </w:r>
    </w:p>
    <w:p>
      <w:pPr>
        <w:spacing w:before="312" w:beforeLines="100" w:after="312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八、部门支出总表</w:t>
      </w:r>
    </w:p>
    <w:p>
      <w:pPr>
        <w:spacing w:before="312" w:beforeLines="100" w:after="312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 水利局</w:t>
      </w:r>
      <w:r>
        <w:rPr>
          <w:rFonts w:hint="eastAsia" w:ascii="黑体" w:hAnsi="宋体" w:eastAsia="黑体"/>
          <w:sz w:val="32"/>
          <w:szCs w:val="32"/>
          <w:lang w:eastAsia="zh-CN"/>
        </w:rPr>
        <w:t>2019</w:t>
      </w:r>
      <w:r>
        <w:rPr>
          <w:rFonts w:hint="eastAsia" w:ascii="黑体" w:hAnsi="宋体" w:eastAsia="黑体"/>
          <w:sz w:val="32"/>
          <w:szCs w:val="32"/>
        </w:rPr>
        <w:t>年度部门预算数据分析</w:t>
      </w:r>
    </w:p>
    <w:p>
      <w:pPr>
        <w:spacing w:before="312" w:beforeLines="100" w:after="312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 名词解释</w:t>
      </w: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 xml:space="preserve">第一部分 </w:t>
      </w: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水利局概况</w:t>
      </w:r>
    </w:p>
    <w:p>
      <w:pPr>
        <w:spacing w:line="460" w:lineRule="exact"/>
        <w:jc w:val="center"/>
        <w:rPr>
          <w:rFonts w:ascii="黑体" w:hAnsi="宋体" w:eastAsia="黑体"/>
          <w:sz w:val="48"/>
          <w:szCs w:val="48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一、部门预算</w:t>
      </w:r>
      <w:r>
        <w:rPr>
          <w:rFonts w:ascii="黑体" w:hAnsi="宋体" w:eastAsia="黑体"/>
          <w:b/>
          <w:sz w:val="32"/>
          <w:szCs w:val="32"/>
        </w:rPr>
        <w:t>单位构成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二、部门</w:t>
      </w:r>
      <w:r>
        <w:rPr>
          <w:rFonts w:ascii="黑体" w:hAnsi="宋体" w:eastAsia="黑体"/>
          <w:b/>
          <w:sz w:val="32"/>
          <w:szCs w:val="32"/>
        </w:rPr>
        <w:t>职责和</w:t>
      </w:r>
      <w:r>
        <w:rPr>
          <w:rFonts w:hint="eastAsia" w:ascii="黑体" w:hAnsi="宋体" w:eastAsia="黑体"/>
          <w:b/>
          <w:sz w:val="32"/>
          <w:szCs w:val="32"/>
        </w:rPr>
        <w:t>机构设置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（一）部门职责。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保障全县水资源的合理开发和利用，拟订水利战略规划和政策，起草有关地方性法规、规章草案，制定部门规章，组织编制县确定的重要江河湖泊的流域综合规划、防洪规划等重大水利规划。按规定制定水利工程建设有关制度并组织实施，负责提出水利固定资产投资规模和方向、县财政性资金安排的建议，按规定权限审批、核准县规划内和年度计划规模内固定资产投资项目；提出国家、省、市及县水利建设投资安排建议并组织实施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生活、生产经营和生态环境用水的统筹兼顾和保障。实施水资源的统一监督管理，拟订全县和跨县（市、区）水中长期供求规划、水量分配方案并监督实施，组织开展水资源调查评价工作，开展水能资源普查和调查评价。负责全县重要流域、区域的水资源调度，组织实施取水许可、水资源有偿使用制度和水资源论证、防洪论证制度。指导水利行业供水和乡镇供水工作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水资源保护工作。组织编制水资源保护规划，组织拟订重要江河湖泊的水功能区划并监督实施，核定水域纳污能力，提出限制排污总量建议，负责入河排污口设置审批工作，指导饮用水水源保护工作，指导地下水开发利用和城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市规划区地下水资源管理保护工作。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负责防治水旱灾害，对重要江河湖泊和重要水利工程实施防汛抗旱调度和应急水量调度，编制县防汛抗旱应急预案并组织实施。指导水利突发公共事件的应急管理工作。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负责全县水能资源开发利用的统一监督管理，会同有关部门编制水能资源开发利用规划并监督实施，负责全县水能资源开发利用权有偿取得工作。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负责节约用水工作。拟订节约用水政策，编制节约用水规划，制定有关标准，指导和推动节水型社会建设工作。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指导水文工作。指导全县水文水资源监测、水文站网建设和管理，对江河湖泊、水库和地下水的水量、水质实施监测。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指导水利设施、水域及其岸线的管理与保护，指导江河、湖泊、水库及河口的治理和开发，负责河道管理工作，指导水利工程建设与运行管理，组织实施具有控制性的或跨县（市、区）的重要水利工程建设与运行管理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防治水土流失工作。拟订水土保持规划并监督实施，组织实施水土流失的综合防治、监测工作，负责有关重大建设项目水土保持方案的审批、监督实施及水土保持设施的验收工作，指导重点水土保持建设项目的实施。负责水土保持规费征收制度的实施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指导农村水利工作。组织协调农田水利基本建设，指导农村饮水安全、节水灌溉等工程建设与管理工作，指导农村水利社会化服务体系建设。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指导全县水利行业的国有资产监管工作，负责对水利资金的使用和局属国有资产的监管工作；指导水利经济和水利风景区建设与管理工作。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重大涉水违法事件的查处，协调、仲裁跨县（市、区）水事纠纷，指导水政监察和水行政执法。依法负责水利行业安全生产工作，组织、指导水库、水电站大坝的安全监管，指导水利建设市场的监督管理，组织实施水利工程建设的监督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开展水利科技和外事工作，组织开展水利行业质量监督工作，指导和监督实施水利行业的技术标准、规程规范，承担水利统计工作，指导全县水利队伍建设，指导全县水利信息化工作。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归口管理县甲岗电站、雄梅电站，县防汛抗旱指挥部办公室和县河长制办公室。 </w:t>
      </w:r>
    </w:p>
    <w:p>
      <w:pPr>
        <w:pStyle w:val="9"/>
        <w:numPr>
          <w:ilvl w:val="2"/>
          <w:numId w:val="1"/>
        </w:numPr>
        <w:ind w:left="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承办县委、县人民政府交办的其他事项。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（二）部门机构设置。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水利局办公室，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第二部分</w:t>
      </w: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水利局</w:t>
      </w:r>
      <w:r>
        <w:rPr>
          <w:rFonts w:hint="eastAsia" w:ascii="黑体" w:hAnsi="宋体" w:eastAsia="黑体"/>
          <w:sz w:val="44"/>
          <w:szCs w:val="44"/>
          <w:lang w:eastAsia="zh-CN"/>
        </w:rPr>
        <w:t>2019</w:t>
      </w:r>
      <w:r>
        <w:rPr>
          <w:rFonts w:hint="eastAsia" w:ascii="黑体" w:hAnsi="宋体" w:eastAsia="黑体"/>
          <w:sz w:val="44"/>
          <w:szCs w:val="44"/>
        </w:rPr>
        <w:t>年度预算明细表</w:t>
      </w: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（表格详见附件）</w:t>
      </w: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hAnsi="宋体" w:eastAsia="黑体"/>
          <w:sz w:val="48"/>
          <w:szCs w:val="48"/>
        </w:rPr>
      </w:pPr>
    </w:p>
    <w:p>
      <w:pPr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第三部分</w:t>
      </w:r>
    </w:p>
    <w:p>
      <w:pPr>
        <w:spacing w:before="312" w:beforeLines="100" w:after="312" w:afterLines="100"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水利局</w:t>
      </w:r>
      <w:r>
        <w:rPr>
          <w:rFonts w:hint="eastAsia" w:ascii="黑体" w:hAnsi="宋体" w:eastAsia="黑体"/>
          <w:sz w:val="44"/>
          <w:szCs w:val="44"/>
          <w:lang w:eastAsia="zh-CN"/>
        </w:rPr>
        <w:t>2019</w:t>
      </w:r>
      <w:r>
        <w:rPr>
          <w:rFonts w:hint="eastAsia" w:ascii="黑体" w:hAnsi="宋体" w:eastAsia="黑体"/>
          <w:sz w:val="44"/>
          <w:szCs w:val="44"/>
        </w:rPr>
        <w:t>年度部门预算数据分析</w:t>
      </w:r>
    </w:p>
    <w:p>
      <w:pPr>
        <w:spacing w:line="560" w:lineRule="exact"/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eastAsia="zh-CN"/>
        </w:rPr>
        <w:t>2019</w:t>
      </w:r>
      <w:r>
        <w:rPr>
          <w:rFonts w:hint="eastAsia" w:ascii="黑体" w:hAnsi="宋体" w:eastAsia="黑体"/>
          <w:sz w:val="32"/>
          <w:szCs w:val="32"/>
        </w:rPr>
        <w:t>年度财政拨款收支预算情况总体说明。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</w:rPr>
        <w:t>年预算安排的总财力为131.76</w:t>
      </w:r>
      <w:r>
        <w:rPr>
          <w:rFonts w:hint="eastAsia" w:ascii="仿宋" w:hAnsi="仿宋" w:eastAsia="仿宋" w:cs="仿宋"/>
          <w:sz w:val="32"/>
          <w:lang w:eastAsia="zh-CN"/>
        </w:rPr>
        <w:t>万元。</w:t>
      </w:r>
    </w:p>
    <w:p>
      <w:pPr>
        <w:spacing w:line="560" w:lineRule="exact"/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</w:t>
      </w:r>
      <w:r>
        <w:rPr>
          <w:rFonts w:hint="eastAsia" w:ascii="黑体" w:hAnsi="宋体" w:eastAsia="黑体"/>
          <w:sz w:val="32"/>
          <w:szCs w:val="32"/>
          <w:lang w:eastAsia="zh-CN"/>
        </w:rPr>
        <w:t>2019</w:t>
      </w:r>
      <w:r>
        <w:rPr>
          <w:rFonts w:hint="eastAsia" w:ascii="黑体" w:hAnsi="宋体" w:eastAsia="黑体"/>
          <w:sz w:val="32"/>
          <w:szCs w:val="32"/>
        </w:rPr>
        <w:t>年度一般公共预算当年财政拨款情况说明。</w:t>
      </w:r>
    </w:p>
    <w:p>
      <w:pPr>
        <w:spacing w:line="560" w:lineRule="exact"/>
        <w:ind w:firstLine="627" w:firstLineChars="196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（一）一般公共预算当年财政拨款规模较201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年度一般公共预算拨款规模有所增加，与上年预算数相比增加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22.62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（二）农林水事物支出131.76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万元。</w:t>
      </w:r>
    </w:p>
    <w:p>
      <w:pPr>
        <w:spacing w:line="560" w:lineRule="exact"/>
        <w:ind w:firstLine="627" w:firstLineChars="196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（三）一般公共预算当年财政拨款具体使用情况。</w:t>
      </w:r>
    </w:p>
    <w:p>
      <w:pPr>
        <w:pStyle w:val="9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2130301行政运行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>126.76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</w:p>
    <w:p>
      <w:pPr>
        <w:pStyle w:val="9"/>
        <w:numPr>
          <w:ilvl w:val="0"/>
          <w:numId w:val="2"/>
        </w:numPr>
        <w:spacing w:line="560" w:lineRule="exact"/>
        <w:ind w:firstLine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2130314防汛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</w:p>
    <w:p>
      <w:pPr>
        <w:spacing w:line="560" w:lineRule="exact"/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</w:t>
      </w:r>
      <w:r>
        <w:rPr>
          <w:rFonts w:hint="eastAsia" w:ascii="黑体" w:hAnsi="宋体" w:eastAsia="黑体"/>
          <w:sz w:val="32"/>
          <w:szCs w:val="32"/>
          <w:lang w:eastAsia="zh-CN"/>
        </w:rPr>
        <w:t>2019</w:t>
      </w:r>
      <w:r>
        <w:rPr>
          <w:rFonts w:hint="eastAsia" w:ascii="黑体" w:hAnsi="宋体" w:eastAsia="黑体"/>
          <w:sz w:val="32"/>
          <w:szCs w:val="32"/>
        </w:rPr>
        <w:t>年度一般公共预算基本支出情况说明。</w:t>
      </w:r>
    </w:p>
    <w:p>
      <w:pPr>
        <w:spacing w:line="560" w:lineRule="exact"/>
        <w:ind w:firstLine="627" w:firstLineChars="196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公用经费为8.65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：其中，办公费1.23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，印刷费0.41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，手续费0.41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、公用水费0.11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、公用电费0.29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、邮电费0.82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、差旅费1.64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、公务车辆运行维护费1.64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、维修（护）费1.23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、福利费0.05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、其他商品与服务支出0.82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万元。</w:t>
      </w:r>
    </w:p>
    <w:p>
      <w:pPr>
        <w:spacing w:line="560" w:lineRule="exact"/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</w:t>
      </w:r>
      <w:r>
        <w:rPr>
          <w:rFonts w:hint="eastAsia" w:ascii="黑体" w:hAnsi="宋体" w:eastAsia="黑体"/>
          <w:sz w:val="32"/>
          <w:szCs w:val="32"/>
          <w:lang w:eastAsia="zh-CN"/>
        </w:rPr>
        <w:t>2019</w:t>
      </w:r>
      <w:r>
        <w:rPr>
          <w:rFonts w:hint="eastAsia" w:ascii="黑体" w:hAnsi="宋体" w:eastAsia="黑体"/>
          <w:sz w:val="32"/>
          <w:szCs w:val="32"/>
        </w:rPr>
        <w:t>年度一</w:t>
      </w:r>
      <w:r>
        <w:rPr>
          <w:rFonts w:ascii="黑体" w:hAnsi="宋体" w:eastAsia="黑体"/>
          <w:sz w:val="32"/>
          <w:szCs w:val="32"/>
        </w:rPr>
        <w:t>般公共预算</w:t>
      </w:r>
      <w:r>
        <w:rPr>
          <w:rFonts w:hint="eastAsia" w:ascii="黑体" w:hAnsi="宋体" w:eastAsia="黑体"/>
          <w:sz w:val="32"/>
          <w:szCs w:val="32"/>
        </w:rPr>
        <w:t>“三公”经费预算情况说明。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公务车辆运行维护费1.64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</w:t>
      </w:r>
      <w:r>
        <w:rPr>
          <w:rFonts w:hint="eastAsia" w:ascii="黑体" w:hAnsi="宋体" w:eastAsia="黑体"/>
          <w:sz w:val="32"/>
          <w:szCs w:val="32"/>
          <w:lang w:eastAsia="zh-CN"/>
        </w:rPr>
        <w:t>2019</w:t>
      </w:r>
      <w:r>
        <w:rPr>
          <w:rFonts w:hint="eastAsia" w:ascii="黑体" w:hAnsi="宋体" w:eastAsia="黑体"/>
          <w:sz w:val="32"/>
          <w:szCs w:val="32"/>
        </w:rPr>
        <w:t>年度政府性基金预算支出情况说明。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我部门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</w:t>
      </w:r>
      <w:r>
        <w:rPr>
          <w:rFonts w:ascii="仿宋_GB2312" w:hAnsi="宋体" w:eastAsia="仿宋_GB2312" w:cs="宋体"/>
          <w:sz w:val="32"/>
          <w:szCs w:val="32"/>
        </w:rPr>
        <w:t>没有使用政府性基金安排的支出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</w:t>
      </w:r>
      <w:r>
        <w:rPr>
          <w:rFonts w:hint="eastAsia" w:ascii="黑体" w:hAnsi="宋体" w:eastAsia="黑体"/>
          <w:sz w:val="32"/>
          <w:szCs w:val="32"/>
          <w:lang w:eastAsia="zh-CN"/>
        </w:rPr>
        <w:t>2019</w:t>
      </w:r>
      <w:r>
        <w:rPr>
          <w:rFonts w:hint="eastAsia" w:ascii="黑体" w:hAnsi="宋体" w:eastAsia="黑体"/>
          <w:sz w:val="32"/>
          <w:szCs w:val="32"/>
        </w:rPr>
        <w:t>年度收支预算情况总体说明。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年度，申扎县水利局收支预算总体情况主要有以下几点：工资福利支出118.11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；商品和服务支出8.65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七、关</w:t>
      </w:r>
      <w:r>
        <w:rPr>
          <w:rFonts w:ascii="黑体" w:hAnsi="宋体" w:eastAsia="黑体"/>
          <w:sz w:val="32"/>
          <w:szCs w:val="32"/>
        </w:rPr>
        <w:t>于部门收入总表的说明</w:t>
      </w:r>
      <w:r>
        <w:rPr>
          <w:rFonts w:hint="eastAsia" w:ascii="黑体" w:hAnsi="宋体" w:eastAsia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年度，申扎县水利局收入为国库拨款。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八</w:t>
      </w:r>
      <w:r>
        <w:rPr>
          <w:rFonts w:ascii="黑体" w:hAnsi="宋体" w:eastAsia="黑体"/>
          <w:sz w:val="32"/>
          <w:szCs w:val="32"/>
        </w:rPr>
        <w:t>、关于部门支出总表的说明</w:t>
      </w:r>
      <w:r>
        <w:rPr>
          <w:rFonts w:hint="eastAsia" w:ascii="黑体" w:hAnsi="宋体" w:eastAsia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年度，申扎县水利局收支预算总体情况主要有以下几点：工资福利支出118.11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；商品和服务支出8.65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九、其他重要事项的情况说明。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（一）机关</w:t>
      </w:r>
      <w:r>
        <w:rPr>
          <w:rFonts w:ascii="仿宋_GB2312" w:hAnsi="宋体" w:eastAsia="仿宋_GB2312" w:cs="宋体"/>
          <w:sz w:val="32"/>
          <w:szCs w:val="32"/>
        </w:rPr>
        <w:t>运行经费安排使用情况说明。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机关运行经费为8.65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：其中，办公费1.23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，印刷费0.41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，手续费0.41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、公用水费0.11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、公用电费0.29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、邮电费0.82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、差旅费1.64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、公务车辆运行维护费1.64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、维修（护）费1.23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、福利费0.05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、其他商品与服务支出0.82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</w:t>
      </w:r>
      <w:r>
        <w:rPr>
          <w:rFonts w:ascii="仿宋_GB2312" w:hAnsi="宋体" w:eastAsia="仿宋_GB2312" w:cs="宋体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政府采购情况说明。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未安排该项支出，我县政府采购统一安排在政府办。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（三）国有资产占有使用情况说明。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2019年未安排购置公务用车及专用设备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（四）预算绩效情况说明。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2019年绩效目标实现全覆盖涉及一般公共预算当年拨款总额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（五）举借债务情况总体说明。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截止至2018年末，本单位无债务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第四部分</w:t>
      </w: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名词解释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</w:t>
      </w:r>
      <w:r>
        <w:rPr>
          <w:rFonts w:ascii="仿宋_GB2312" w:hAnsi="宋体" w:eastAsia="仿宋_GB2312" w:cs="宋体"/>
          <w:sz w:val="32"/>
          <w:szCs w:val="32"/>
        </w:rPr>
        <w:t>、一般公共预算拨款收入：指财政</w:t>
      </w:r>
      <w:r>
        <w:rPr>
          <w:rFonts w:hint="eastAsia" w:ascii="仿宋_GB2312" w:hAnsi="宋体" w:eastAsia="仿宋_GB2312" w:cs="宋体"/>
          <w:sz w:val="32"/>
          <w:szCs w:val="32"/>
        </w:rPr>
        <w:t>部门</w:t>
      </w:r>
      <w:r>
        <w:rPr>
          <w:rFonts w:ascii="仿宋_GB2312" w:hAnsi="宋体" w:eastAsia="仿宋_GB2312" w:cs="宋体"/>
          <w:sz w:val="32"/>
          <w:szCs w:val="32"/>
        </w:rPr>
        <w:t>当年拨付的资金。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</w:t>
      </w:r>
      <w:r>
        <w:rPr>
          <w:rFonts w:ascii="仿宋_GB2312" w:hAnsi="宋体" w:eastAsia="仿宋_GB2312" w:cs="宋体"/>
          <w:sz w:val="32"/>
          <w:szCs w:val="32"/>
        </w:rPr>
        <w:t>、其他收入</w:t>
      </w:r>
      <w:r>
        <w:rPr>
          <w:rFonts w:hint="eastAsia" w:ascii="仿宋_GB2312" w:hAnsi="宋体" w:eastAsia="仿宋_GB2312" w:cs="宋体"/>
          <w:sz w:val="32"/>
          <w:szCs w:val="32"/>
        </w:rPr>
        <w:t>：指</w:t>
      </w:r>
      <w:r>
        <w:rPr>
          <w:rFonts w:ascii="仿宋_GB2312" w:hAnsi="宋体" w:eastAsia="仿宋_GB2312" w:cs="宋体"/>
          <w:sz w:val="32"/>
          <w:szCs w:val="32"/>
        </w:rPr>
        <w:t>上述“一般公共预算拨款收入”以外的收入。主</w:t>
      </w:r>
      <w:r>
        <w:rPr>
          <w:rFonts w:hint="eastAsia" w:ascii="仿宋_GB2312" w:hAnsi="宋体" w:eastAsia="仿宋_GB2312" w:cs="宋体"/>
          <w:sz w:val="32"/>
          <w:szCs w:val="32"/>
        </w:rPr>
        <w:t>要</w:t>
      </w:r>
      <w:r>
        <w:rPr>
          <w:rFonts w:ascii="仿宋_GB2312" w:hAnsi="宋体" w:eastAsia="仿宋_GB2312" w:cs="宋体"/>
          <w:sz w:val="32"/>
          <w:szCs w:val="32"/>
        </w:rPr>
        <w:t>是按规定</w:t>
      </w:r>
      <w:r>
        <w:rPr>
          <w:rFonts w:hint="eastAsia" w:ascii="仿宋_GB2312" w:hAnsi="宋体" w:eastAsia="仿宋_GB2312" w:cs="宋体"/>
          <w:sz w:val="32"/>
          <w:szCs w:val="32"/>
        </w:rPr>
        <w:t>动</w:t>
      </w:r>
      <w:r>
        <w:rPr>
          <w:rFonts w:ascii="仿宋_GB2312" w:hAnsi="宋体" w:eastAsia="仿宋_GB2312" w:cs="宋体"/>
          <w:sz w:val="32"/>
          <w:szCs w:val="32"/>
        </w:rPr>
        <w:t>用的</w:t>
      </w:r>
      <w:r>
        <w:rPr>
          <w:rFonts w:hint="eastAsia" w:ascii="仿宋_GB2312" w:hAnsi="宋体" w:eastAsia="仿宋_GB2312" w:cs="宋体"/>
          <w:sz w:val="32"/>
          <w:szCs w:val="32"/>
        </w:rPr>
        <w:t>售房</w:t>
      </w:r>
      <w:r>
        <w:rPr>
          <w:rFonts w:ascii="仿宋_GB2312" w:hAnsi="宋体" w:eastAsia="仿宋_GB2312" w:cs="宋体"/>
          <w:sz w:val="32"/>
          <w:szCs w:val="32"/>
        </w:rPr>
        <w:t>收入、存款利息收入等。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三、机关运行经费：是指各部门的公用经费，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10</w:t>
    </w:r>
    <w:r>
      <w:rPr>
        <w:rStyle w:val="6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536"/>
    <w:multiLevelType w:val="multilevel"/>
    <w:tmpl w:val="12784536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98B1049"/>
    <w:multiLevelType w:val="multilevel"/>
    <w:tmpl w:val="798B1049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decimal"/>
      <w:lvlText w:val="%3."/>
      <w:lvlJc w:val="lef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57716"/>
    <w:rsid w:val="00182BE7"/>
    <w:rsid w:val="00240AF1"/>
    <w:rsid w:val="00283A9E"/>
    <w:rsid w:val="0031044F"/>
    <w:rsid w:val="00343FBB"/>
    <w:rsid w:val="003750D2"/>
    <w:rsid w:val="00477C22"/>
    <w:rsid w:val="004A5C71"/>
    <w:rsid w:val="004C0895"/>
    <w:rsid w:val="004C6005"/>
    <w:rsid w:val="00525A5F"/>
    <w:rsid w:val="005978A7"/>
    <w:rsid w:val="00622C63"/>
    <w:rsid w:val="00634EE7"/>
    <w:rsid w:val="007B07E3"/>
    <w:rsid w:val="008C1747"/>
    <w:rsid w:val="008C1949"/>
    <w:rsid w:val="0094056C"/>
    <w:rsid w:val="0096677A"/>
    <w:rsid w:val="00A37FB3"/>
    <w:rsid w:val="00A65C56"/>
    <w:rsid w:val="00AA1BA1"/>
    <w:rsid w:val="00AA435E"/>
    <w:rsid w:val="00AB6348"/>
    <w:rsid w:val="00AD34B6"/>
    <w:rsid w:val="00AD4DFB"/>
    <w:rsid w:val="00AD58CE"/>
    <w:rsid w:val="00B01D71"/>
    <w:rsid w:val="00BD3F16"/>
    <w:rsid w:val="00C408D0"/>
    <w:rsid w:val="00C97B95"/>
    <w:rsid w:val="00CC7794"/>
    <w:rsid w:val="00CF7F35"/>
    <w:rsid w:val="00D06FF1"/>
    <w:rsid w:val="00D26FA7"/>
    <w:rsid w:val="00DB42F4"/>
    <w:rsid w:val="00DF6024"/>
    <w:rsid w:val="00E87A92"/>
    <w:rsid w:val="00F61DD9"/>
    <w:rsid w:val="00F9620B"/>
    <w:rsid w:val="00FF507E"/>
    <w:rsid w:val="62A03817"/>
    <w:rsid w:val="63D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484</Words>
  <Characters>2764</Characters>
  <Lines>23</Lines>
  <Paragraphs>6</Paragraphs>
  <TotalTime>0</TotalTime>
  <ScaleCrop>false</ScaleCrop>
  <LinksUpToDate>false</LinksUpToDate>
  <CharactersWithSpaces>3242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2018-05-31T13:03:00Z</dcterms:created>
  <dc:creator>Administrator</dc:creator>
  <cp:lastModifiedBy>Administrator</cp:lastModifiedBy>
  <dcterms:modified xsi:type="dcterms:W3CDTF">2019-03-25T17:10:34Z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