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  <w:r>
        <w:rPr>
          <w:rFonts w:hint="eastAsia" w:ascii="黑体" w:eastAsia="黑体"/>
          <w:b/>
          <w:sz w:val="52"/>
          <w:szCs w:val="52"/>
        </w:rPr>
        <w:t>买巴乡人民政府</w:t>
      </w:r>
      <w:r>
        <w:rPr>
          <w:rFonts w:hint="eastAsia" w:ascii="黑体" w:eastAsia="黑体"/>
          <w:b/>
          <w:sz w:val="52"/>
          <w:szCs w:val="52"/>
          <w:lang w:eastAsia="zh-CN"/>
        </w:rPr>
        <w:t>2019</w:t>
      </w:r>
      <w:r>
        <w:rPr>
          <w:rFonts w:hint="eastAsia" w:ascii="黑体" w:eastAsia="黑体"/>
          <w:b/>
          <w:sz w:val="52"/>
          <w:szCs w:val="52"/>
        </w:rPr>
        <w:t>年度部门预算</w:t>
      </w: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jc w:val="center"/>
        <w:rPr>
          <w:rFonts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  <w:u w:val="single"/>
          <w:lang w:eastAsia="zh-CN"/>
        </w:rPr>
        <w:t>2019</w:t>
      </w:r>
      <w:r>
        <w:rPr>
          <w:rFonts w:hint="eastAsia" w:ascii="宋体" w:hAnsi="宋体"/>
          <w:sz w:val="32"/>
          <w:szCs w:val="32"/>
        </w:rPr>
        <w:t>年</w:t>
      </w:r>
      <w:r>
        <w:rPr>
          <w:rFonts w:hint="eastAsia" w:ascii="宋体" w:hAnsi="宋体"/>
          <w:sz w:val="32"/>
          <w:szCs w:val="32"/>
          <w:u w:val="single"/>
        </w:rPr>
        <w:t>0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3</w:t>
      </w:r>
      <w:r>
        <w:rPr>
          <w:rFonts w:hint="eastAsia" w:ascii="宋体" w:hAnsi="宋体"/>
          <w:sz w:val="32"/>
          <w:szCs w:val="32"/>
        </w:rPr>
        <w:t>月</w:t>
      </w:r>
      <w:r>
        <w:rPr>
          <w:rFonts w:hint="eastAsia" w:ascii="宋体" w:hAnsi="宋体"/>
          <w:sz w:val="32"/>
          <w:szCs w:val="32"/>
          <w:u w:val="single"/>
        </w:rPr>
        <w:t>2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4</w:t>
      </w:r>
      <w:r>
        <w:rPr>
          <w:rFonts w:hint="eastAsia" w:ascii="宋体" w:hAnsi="宋体"/>
          <w:sz w:val="32"/>
          <w:szCs w:val="32"/>
        </w:rPr>
        <w:t>日</w:t>
      </w: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  <w:r>
        <w:rPr>
          <w:rFonts w:hint="eastAsia" w:ascii="宋体" w:hAnsi="宋体"/>
          <w:b/>
          <w:sz w:val="40"/>
          <w:szCs w:val="40"/>
        </w:rPr>
        <w:t>目  录</w:t>
      </w:r>
    </w:p>
    <w:p>
      <w:pPr>
        <w:spacing w:line="460" w:lineRule="exact"/>
        <w:rPr>
          <w:rFonts w:ascii="宋体" w:hAnsi="宋体"/>
          <w:b/>
          <w:sz w:val="40"/>
          <w:szCs w:val="40"/>
        </w:rPr>
      </w:pP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第一部分  买巴乡人民政府概况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一、部门预算单位构成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二、部门职责和机构设置</w:t>
      </w: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第二部分  买巴乡人民政府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年度部门预算明细表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一、财政拨款收支总表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二、一般公共预算支出表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三、一般公共预算基本支出表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四、一般公共预算“三公”经费支出表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五、政府性基金预算支出表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六、部门收支总表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七、部门收入总表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八、部门支出总表</w:t>
      </w: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第三部分  买巴乡人民政府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年度部门预算数据分析</w:t>
      </w: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第四部分  名词解释</w:t>
      </w: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 xml:space="preserve">第一部分 </w:t>
      </w: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买巴乡人民政府概况</w:t>
      </w:r>
    </w:p>
    <w:p>
      <w:pPr>
        <w:spacing w:line="460" w:lineRule="exact"/>
        <w:jc w:val="center"/>
        <w:rPr>
          <w:rFonts w:ascii="黑体" w:hAnsi="宋体" w:eastAsia="黑体"/>
          <w:sz w:val="48"/>
          <w:szCs w:val="48"/>
        </w:rPr>
      </w:pPr>
    </w:p>
    <w:p>
      <w:pPr>
        <w:ind w:firstLine="630" w:firstLineChars="196"/>
        <w:rPr>
          <w:rFonts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一、部门预算</w:t>
      </w:r>
      <w:r>
        <w:rPr>
          <w:rFonts w:ascii="黑体" w:hAnsi="宋体" w:eastAsia="黑体"/>
          <w:b/>
          <w:sz w:val="32"/>
          <w:szCs w:val="32"/>
        </w:rPr>
        <w:t>单位构成</w:t>
      </w: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买巴乡人民政府，买巴乡卫生所，买巴乡兽防站</w:t>
      </w:r>
    </w:p>
    <w:p>
      <w:pPr>
        <w:ind w:firstLine="630" w:firstLineChars="196"/>
        <w:rPr>
          <w:rFonts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二、部门</w:t>
      </w:r>
      <w:r>
        <w:rPr>
          <w:rFonts w:ascii="黑体" w:hAnsi="宋体" w:eastAsia="黑体"/>
          <w:b/>
          <w:sz w:val="32"/>
          <w:szCs w:val="32"/>
        </w:rPr>
        <w:t>职责和</w:t>
      </w:r>
      <w:r>
        <w:rPr>
          <w:rFonts w:hint="eastAsia" w:ascii="黑体" w:hAnsi="宋体" w:eastAsia="黑体"/>
          <w:b/>
          <w:sz w:val="32"/>
          <w:szCs w:val="32"/>
        </w:rPr>
        <w:t>机构设置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（一）部门职责。</w:t>
      </w:r>
    </w:p>
    <w:p>
      <w:pPr>
        <w:ind w:firstLine="643" w:firstLineChars="200"/>
        <w:jc w:val="left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党委职责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1.保证党的路线、方针、政策的坚决贯彻执行。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2.保证监督职能。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3.教育和管理广大党员的职能。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4.服从和服务于经济建设的职能。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5.负责抓好本乡 党建工作、群团工作、精神文明建设工作、新闻宣传工作。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6.完成县委、县政府交给的其他工作任务。</w:t>
      </w:r>
    </w:p>
    <w:p>
      <w:pPr>
        <w:ind w:firstLine="643" w:firstLineChars="200"/>
        <w:jc w:val="left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政府职责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 执行国家行政机关的决定、命令和国家制定的法令、法规，执行本级人民代表大会的各项决议，并报告执行决议、决定和命令的情况。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2.制定并落实本行政区域的经济计划和措施，全面提高人民群众的生活水平和生活质量。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 承担国有资产、集体资产管理、监督及增值保值责任。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4.开展社会主义民主和法制的宣传教育，保障公民的权利，打击违法犯罪，维护社会稳定。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5.制定社会各项事业发展计划，发展农牧、教育、卫生、科技、民政、文化等事业；加强计划生育工作；推进社会保障、社会福利事业和养老保险等工作。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6.加强乡级财政的监督和管理。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7.指导村（居）民委员会的组织制度建设和业务建设，促进村（居）民委员会民主自治。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8.制定和组织实施乡村建设规划，保护和改善生活环境和生态环境。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9. 监督其遵守和执行国家的法律、法规和政策。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10.承办本级党委、人大和上级交办的其它事项。</w:t>
      </w:r>
    </w:p>
    <w:p>
      <w:pPr>
        <w:ind w:firstLine="643" w:firstLineChars="200"/>
        <w:jc w:val="left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人大职责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1.监督保证宪法、法律、行政法规和上级人民代表大会及其常务委员会决议、决定在本行政区域内的遵守和执行。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2.讨论决定本乡重大事项，在职权范围内通过和发布决议。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3.听取和审议本级人民政府工作报告，审查和批准本行政区域内的财务预算和预算执行情况的报告，并通过相应的决议、决定。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4.根据国家有关计划，决定本行政区域内的经济、文化事业和公共事业的设计计划。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5.选举本级人民代表大会主席团成员、主席、副主席、乡人民政府乡长和副乡长。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6.撤销本级人民政府依法行政，组织人大代表开展代表视察、执行检查和调研等活动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7.监督本级人民政府依法行政、组织人大代表开展代表视察、执法检查和调研等活动。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8.完成上级人大及常委会委托交办的其他任务。</w:t>
      </w:r>
    </w:p>
    <w:p>
      <w:pPr>
        <w:ind w:firstLine="643" w:firstLineChars="200"/>
        <w:jc w:val="left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纪检职责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1.监督检查基层党支部、党员干部贯彻执行国家的法律法规、党的方针政策、乡党委、政府各种规章制度的情况。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2.协助乡党委抓好农村基层党风廉政建设工作，监督检查落实党风廉政建设责任制的情况。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3.受理基层党支部、党员和领导干部违反党纪政纪的信访和举报。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4.调查处理基层党支部和党员、领导干部违反党纪政纪的行为或提出处理建议。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5.受理党员、党员领导干部及行政干部不服党纪政纪处分的申诉。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6.会同有关部门做好党风党纪和廉洁从政的教育、宣传、调研等工作。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7.做好执法监察工作。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8.承办好乡党委、政府和上级纪检监察机关交办的有关工作。</w:t>
      </w:r>
      <w:r>
        <w:rPr>
          <w:rFonts w:hint="eastAsia" w:ascii="仿宋_GB2312" w:eastAsia="仿宋_GB2312"/>
          <w:sz w:val="32"/>
          <w:szCs w:val="32"/>
        </w:rPr>
        <w:t xml:space="preserve">                                  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（二）部门机构设置。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乡党委由党群办、强基办、换届办和保密办所构成；乡政府由综治、扶贫、农牧、人社、民政、文化、教育、卫生、财务所等科室构成；乡人大由人大办构成；乡纪检由纪检办构成。</w:t>
      </w:r>
      <w:r>
        <w:rPr>
          <w:rFonts w:ascii="黑体" w:eastAsia="黑体"/>
          <w:sz w:val="32"/>
          <w:szCs w:val="32"/>
        </w:rPr>
        <w:br w:type="page"/>
      </w: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第二部分</w:t>
      </w: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460" w:lineRule="exact"/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买巴乡人民政府</w:t>
      </w:r>
      <w:r>
        <w:rPr>
          <w:rFonts w:hint="eastAsia" w:ascii="黑体" w:hAnsi="宋体" w:eastAsia="黑体"/>
          <w:sz w:val="44"/>
          <w:szCs w:val="44"/>
          <w:lang w:eastAsia="zh-CN"/>
        </w:rPr>
        <w:t>2019</w:t>
      </w:r>
      <w:r>
        <w:rPr>
          <w:rFonts w:hint="eastAsia" w:ascii="黑体" w:hAnsi="宋体" w:eastAsia="黑体"/>
          <w:sz w:val="44"/>
          <w:szCs w:val="44"/>
        </w:rPr>
        <w:t>年度预算明细表</w:t>
      </w: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（表格详见附件）</w:t>
      </w: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rPr>
          <w:rFonts w:ascii="黑体" w:hAnsi="宋体" w:eastAsia="黑体"/>
          <w:sz w:val="48"/>
          <w:szCs w:val="48"/>
        </w:rPr>
      </w:pPr>
    </w:p>
    <w:p>
      <w:pPr>
        <w:rPr>
          <w:rFonts w:ascii="黑体" w:hAnsi="宋体" w:eastAsia="黑体"/>
          <w:sz w:val="48"/>
          <w:szCs w:val="48"/>
        </w:rPr>
      </w:pPr>
    </w:p>
    <w:p>
      <w:pPr>
        <w:jc w:val="center"/>
        <w:rPr>
          <w:rFonts w:ascii="黑体" w:hAnsi="宋体" w:eastAsia="黑体"/>
          <w:sz w:val="48"/>
          <w:szCs w:val="48"/>
        </w:rPr>
      </w:pPr>
    </w:p>
    <w:p>
      <w:pPr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第三部分</w:t>
      </w:r>
    </w:p>
    <w:p>
      <w:pPr>
        <w:spacing w:before="312" w:beforeLines="100" w:after="312" w:afterLines="100"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买巴乡人民政府</w:t>
      </w:r>
      <w:r>
        <w:rPr>
          <w:rFonts w:hint="eastAsia" w:ascii="黑体" w:hAnsi="宋体" w:eastAsia="黑体"/>
          <w:sz w:val="44"/>
          <w:szCs w:val="44"/>
          <w:lang w:eastAsia="zh-CN"/>
        </w:rPr>
        <w:t>2019</w:t>
      </w:r>
      <w:r>
        <w:rPr>
          <w:rFonts w:hint="eastAsia" w:ascii="黑体" w:hAnsi="宋体" w:eastAsia="黑体"/>
          <w:sz w:val="44"/>
          <w:szCs w:val="44"/>
        </w:rPr>
        <w:t>年度部门预算数据分析</w:t>
      </w:r>
    </w:p>
    <w:p>
      <w:pPr>
        <w:spacing w:line="560" w:lineRule="exact"/>
        <w:ind w:firstLine="627" w:firstLineChars="196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一、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年度财政拨款收支预算情况总体说明。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lang w:eastAsia="zh-CN"/>
        </w:rPr>
        <w:t>2019</w:t>
      </w:r>
      <w:r>
        <w:rPr>
          <w:rFonts w:hint="eastAsia" w:ascii="仿宋" w:hAnsi="仿宋" w:eastAsia="仿宋" w:cs="仿宋"/>
          <w:sz w:val="32"/>
        </w:rPr>
        <w:t>年预算安排的总财力为1128.75</w:t>
      </w:r>
      <w:r>
        <w:rPr>
          <w:rFonts w:hint="eastAsia" w:ascii="仿宋" w:hAnsi="仿宋" w:eastAsia="仿宋" w:cs="仿宋"/>
          <w:sz w:val="32"/>
          <w:lang w:eastAsia="zh-CN"/>
        </w:rPr>
        <w:t>万元</w:t>
      </w:r>
    </w:p>
    <w:p>
      <w:pPr>
        <w:spacing w:line="560" w:lineRule="exact"/>
        <w:ind w:firstLine="627" w:firstLineChars="196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二、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年度一般公共预算当年财政拨款情况说明。</w:t>
      </w:r>
    </w:p>
    <w:p>
      <w:pPr>
        <w:spacing w:line="560" w:lineRule="exact"/>
        <w:ind w:firstLine="627" w:firstLineChars="196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（一）一般公共预算当年财政拨款规模较201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 w:cs="宋体"/>
          <w:sz w:val="32"/>
          <w:szCs w:val="32"/>
        </w:rPr>
        <w:t>年度一般公共预算拨款规模有所增加，与上年预算数相比增加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141.24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。</w:t>
      </w:r>
    </w:p>
    <w:p>
      <w:pPr>
        <w:spacing w:line="560" w:lineRule="exact"/>
        <w:ind w:firstLine="627" w:firstLineChars="196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（二）一般公共服务支出812.37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，文化体育与传媒支出105.74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，社会保障和就业支出3.66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，医疗卫生与计划生育支出61.76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，节能环保支出12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，城乡社区事务支出20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，农林水事物支出113.22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万元。</w:t>
      </w:r>
    </w:p>
    <w:p>
      <w:pPr>
        <w:spacing w:line="560" w:lineRule="exact"/>
        <w:ind w:firstLine="627" w:firstLineChars="196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（三）一般公共预算当年财政拨款具体使用情况。</w:t>
      </w:r>
    </w:p>
    <w:p>
      <w:pPr>
        <w:pStyle w:val="9"/>
        <w:numPr>
          <w:ilvl w:val="2"/>
          <w:numId w:val="1"/>
        </w:numPr>
        <w:spacing w:line="560" w:lineRule="exact"/>
        <w:ind w:left="0" w:firstLine="640"/>
        <w:jc w:val="left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2010101行政运行</w:t>
      </w:r>
      <w:r>
        <w:rPr>
          <w:rFonts w:hint="eastAsia" w:ascii="仿宋_GB2312" w:hAnsi="宋体" w:eastAsia="仿宋_GB2312" w:cs="宋体"/>
          <w:sz w:val="32"/>
          <w:szCs w:val="32"/>
        </w:rPr>
        <w:tab/>
      </w:r>
      <w:r>
        <w:rPr>
          <w:rFonts w:hint="eastAsia" w:ascii="仿宋_GB2312" w:hAnsi="宋体" w:eastAsia="仿宋_GB2312" w:cs="宋体"/>
          <w:sz w:val="32"/>
          <w:szCs w:val="32"/>
        </w:rPr>
        <w:t>46.19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</w:p>
    <w:p>
      <w:pPr>
        <w:pStyle w:val="9"/>
        <w:numPr>
          <w:ilvl w:val="2"/>
          <w:numId w:val="1"/>
        </w:numPr>
        <w:spacing w:line="560" w:lineRule="exact"/>
        <w:ind w:left="0" w:firstLine="640"/>
        <w:jc w:val="left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2010199其他人大事务支出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7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</w:p>
    <w:p>
      <w:pPr>
        <w:pStyle w:val="9"/>
        <w:numPr>
          <w:ilvl w:val="2"/>
          <w:numId w:val="1"/>
        </w:numPr>
        <w:spacing w:line="560" w:lineRule="exact"/>
        <w:ind w:left="0" w:firstLine="640"/>
        <w:jc w:val="left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2010301行政运行</w:t>
      </w:r>
      <w:r>
        <w:rPr>
          <w:rFonts w:hint="eastAsia" w:ascii="仿宋_GB2312" w:hAnsi="宋体" w:eastAsia="仿宋_GB2312" w:cs="宋体"/>
          <w:sz w:val="32"/>
          <w:szCs w:val="32"/>
        </w:rPr>
        <w:tab/>
      </w:r>
      <w:r>
        <w:rPr>
          <w:rFonts w:hint="eastAsia" w:ascii="仿宋_GB2312" w:hAnsi="宋体" w:eastAsia="仿宋_GB2312" w:cs="宋体"/>
          <w:sz w:val="32"/>
          <w:szCs w:val="32"/>
        </w:rPr>
        <w:t>327.89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</w:p>
    <w:p>
      <w:pPr>
        <w:pStyle w:val="9"/>
        <w:numPr>
          <w:ilvl w:val="2"/>
          <w:numId w:val="1"/>
        </w:numPr>
        <w:spacing w:line="560" w:lineRule="exact"/>
        <w:ind w:left="0" w:firstLine="640"/>
        <w:jc w:val="left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2100303机关服务199.15万元</w:t>
      </w:r>
    </w:p>
    <w:p>
      <w:pPr>
        <w:pStyle w:val="9"/>
        <w:numPr>
          <w:ilvl w:val="2"/>
          <w:numId w:val="1"/>
        </w:numPr>
        <w:spacing w:line="560" w:lineRule="exact"/>
        <w:ind w:left="0" w:firstLine="640"/>
        <w:jc w:val="left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2010399其他政府办公厅（室）及相关机构事务支出71.2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</w:p>
    <w:p>
      <w:pPr>
        <w:pStyle w:val="9"/>
        <w:numPr>
          <w:ilvl w:val="2"/>
          <w:numId w:val="1"/>
        </w:numPr>
        <w:spacing w:line="560" w:lineRule="exact"/>
        <w:ind w:left="0" w:firstLine="640"/>
        <w:jc w:val="left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2011199其他纪检监察事务支出</w:t>
      </w:r>
      <w:r>
        <w:rPr>
          <w:rFonts w:hint="eastAsia" w:ascii="仿宋_GB2312" w:hAnsi="宋体" w:eastAsia="仿宋_GB2312" w:cs="宋体"/>
          <w:sz w:val="32"/>
          <w:szCs w:val="32"/>
        </w:rPr>
        <w:tab/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</w:p>
    <w:p>
      <w:pPr>
        <w:pStyle w:val="9"/>
        <w:numPr>
          <w:ilvl w:val="2"/>
          <w:numId w:val="1"/>
        </w:numPr>
        <w:spacing w:line="560" w:lineRule="exact"/>
        <w:ind w:left="0" w:firstLine="640"/>
        <w:jc w:val="left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2012399  其他民族事务支出33.2万元</w:t>
      </w:r>
    </w:p>
    <w:p>
      <w:pPr>
        <w:pStyle w:val="9"/>
        <w:numPr>
          <w:ilvl w:val="2"/>
          <w:numId w:val="1"/>
        </w:numPr>
        <w:spacing w:line="560" w:lineRule="exact"/>
        <w:ind w:left="0" w:firstLine="640"/>
        <w:jc w:val="left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2012999其他群众团体事务支出</w:t>
      </w:r>
      <w:r>
        <w:rPr>
          <w:rFonts w:hint="eastAsia" w:ascii="仿宋_GB2312" w:hAnsi="宋体" w:eastAsia="仿宋_GB2312" w:cs="宋体"/>
          <w:sz w:val="32"/>
          <w:szCs w:val="32"/>
        </w:rPr>
        <w:tab/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</w:p>
    <w:p>
      <w:pPr>
        <w:pStyle w:val="9"/>
        <w:numPr>
          <w:ilvl w:val="2"/>
          <w:numId w:val="1"/>
        </w:numPr>
        <w:spacing w:line="560" w:lineRule="exact"/>
        <w:ind w:left="0" w:firstLine="640"/>
        <w:jc w:val="left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2013299其他组织事务支出123.44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</w:p>
    <w:p>
      <w:pPr>
        <w:pStyle w:val="9"/>
        <w:numPr>
          <w:ilvl w:val="2"/>
          <w:numId w:val="1"/>
        </w:numPr>
        <w:spacing w:line="560" w:lineRule="exact"/>
        <w:ind w:left="0" w:firstLine="640"/>
        <w:jc w:val="left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2013499  其他统战事务支出0.3万元</w:t>
      </w:r>
    </w:p>
    <w:p>
      <w:pPr>
        <w:pStyle w:val="9"/>
        <w:numPr>
          <w:ilvl w:val="2"/>
          <w:numId w:val="1"/>
        </w:numPr>
        <w:spacing w:line="560" w:lineRule="exact"/>
        <w:ind w:left="0" w:firstLine="640"/>
        <w:jc w:val="left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2070101行政运行100.21万元</w:t>
      </w:r>
    </w:p>
    <w:p>
      <w:pPr>
        <w:pStyle w:val="9"/>
        <w:numPr>
          <w:ilvl w:val="2"/>
          <w:numId w:val="1"/>
        </w:numPr>
        <w:spacing w:line="560" w:lineRule="exact"/>
        <w:ind w:left="0" w:firstLine="640"/>
        <w:jc w:val="left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2070108文化活动</w:t>
      </w:r>
      <w:r>
        <w:rPr>
          <w:rFonts w:hint="eastAsia" w:ascii="仿宋_GB2312" w:hAnsi="宋体" w:eastAsia="仿宋_GB2312" w:cs="宋体"/>
          <w:sz w:val="32"/>
          <w:szCs w:val="32"/>
        </w:rPr>
        <w:tab/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0.53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</w:p>
    <w:p>
      <w:pPr>
        <w:pStyle w:val="9"/>
        <w:numPr>
          <w:ilvl w:val="2"/>
          <w:numId w:val="1"/>
        </w:numPr>
        <w:spacing w:line="560" w:lineRule="exact"/>
        <w:ind w:left="0" w:firstLine="640"/>
        <w:jc w:val="left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2070199其他文化支出</w:t>
      </w:r>
      <w:r>
        <w:rPr>
          <w:rFonts w:hint="eastAsia" w:ascii="仿宋_GB2312" w:hAnsi="宋体" w:eastAsia="仿宋_GB2312" w:cs="宋体"/>
          <w:sz w:val="32"/>
          <w:szCs w:val="32"/>
        </w:rPr>
        <w:tab/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5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</w:p>
    <w:p>
      <w:pPr>
        <w:pStyle w:val="9"/>
        <w:numPr>
          <w:ilvl w:val="2"/>
          <w:numId w:val="1"/>
        </w:numPr>
        <w:spacing w:line="560" w:lineRule="exact"/>
        <w:ind w:left="0" w:firstLine="640"/>
        <w:jc w:val="left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2080106就业管理事务</w:t>
      </w:r>
      <w:r>
        <w:rPr>
          <w:rFonts w:hint="eastAsia" w:ascii="仿宋_GB2312" w:hAnsi="宋体" w:eastAsia="仿宋_GB2312" w:cs="宋体"/>
          <w:sz w:val="32"/>
          <w:szCs w:val="32"/>
        </w:rPr>
        <w:tab/>
      </w:r>
      <w:r>
        <w:rPr>
          <w:rFonts w:hint="eastAsia" w:ascii="仿宋_GB2312" w:hAnsi="宋体" w:eastAsia="仿宋_GB2312" w:cs="宋体"/>
          <w:sz w:val="32"/>
          <w:szCs w:val="32"/>
        </w:rPr>
        <w:t>3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</w:p>
    <w:p>
      <w:pPr>
        <w:pStyle w:val="9"/>
        <w:numPr>
          <w:ilvl w:val="2"/>
          <w:numId w:val="1"/>
        </w:numPr>
        <w:spacing w:line="560" w:lineRule="exact"/>
        <w:ind w:left="0" w:firstLine="640"/>
        <w:jc w:val="left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2080199其他人力资源和社会保障管理事务支出</w:t>
      </w:r>
      <w:r>
        <w:rPr>
          <w:rFonts w:hint="eastAsia" w:ascii="仿宋_GB2312" w:hAnsi="宋体" w:eastAsia="仿宋_GB2312" w:cs="宋体"/>
          <w:sz w:val="32"/>
          <w:szCs w:val="32"/>
        </w:rPr>
        <w:tab/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0.2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</w:p>
    <w:p>
      <w:pPr>
        <w:pStyle w:val="9"/>
        <w:numPr>
          <w:ilvl w:val="2"/>
          <w:numId w:val="1"/>
        </w:numPr>
        <w:spacing w:line="560" w:lineRule="exact"/>
        <w:ind w:left="0" w:firstLine="640"/>
        <w:jc w:val="left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208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1002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老年福利</w:t>
      </w:r>
      <w:r>
        <w:rPr>
          <w:rFonts w:hint="eastAsia" w:ascii="仿宋_GB2312" w:hAnsi="宋体" w:eastAsia="仿宋_GB2312" w:cs="宋体"/>
          <w:sz w:val="32"/>
          <w:szCs w:val="32"/>
        </w:rPr>
        <w:t>0.46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</w:p>
    <w:p>
      <w:pPr>
        <w:pStyle w:val="9"/>
        <w:numPr>
          <w:ilvl w:val="2"/>
          <w:numId w:val="1"/>
        </w:numPr>
        <w:spacing w:line="560" w:lineRule="exact"/>
        <w:ind w:left="0" w:firstLine="640"/>
        <w:jc w:val="left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2100101行政运行49.76万元</w:t>
      </w:r>
    </w:p>
    <w:p>
      <w:pPr>
        <w:pStyle w:val="9"/>
        <w:numPr>
          <w:ilvl w:val="2"/>
          <w:numId w:val="1"/>
        </w:numPr>
        <w:spacing w:line="560" w:lineRule="exact"/>
        <w:ind w:left="0" w:firstLine="640"/>
        <w:jc w:val="left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2100302乡镇卫生院</w:t>
      </w:r>
      <w:r>
        <w:rPr>
          <w:rFonts w:hint="eastAsia" w:ascii="仿宋_GB2312" w:hAnsi="宋体" w:eastAsia="仿宋_GB2312" w:cs="宋体"/>
          <w:b w:val="0"/>
          <w:bCs w:val="0"/>
          <w:sz w:val="32"/>
          <w:szCs w:val="32"/>
          <w:lang w:val="en-US" w:eastAsia="zh-CN"/>
        </w:rPr>
        <w:t>12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</w:p>
    <w:p>
      <w:pPr>
        <w:pStyle w:val="9"/>
        <w:numPr>
          <w:ilvl w:val="2"/>
          <w:numId w:val="1"/>
        </w:numPr>
        <w:spacing w:line="560" w:lineRule="exact"/>
        <w:ind w:left="0" w:firstLine="640"/>
        <w:jc w:val="left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2110199其他环境保护管理事务支出 12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</w:p>
    <w:p>
      <w:pPr>
        <w:pStyle w:val="9"/>
        <w:numPr>
          <w:ilvl w:val="2"/>
          <w:numId w:val="1"/>
        </w:numPr>
        <w:spacing w:line="560" w:lineRule="exact"/>
        <w:ind w:left="0" w:firstLine="640"/>
        <w:jc w:val="left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2120199 其他城乡社区管理事务支出20万元</w:t>
      </w:r>
    </w:p>
    <w:p>
      <w:pPr>
        <w:pStyle w:val="9"/>
        <w:numPr>
          <w:ilvl w:val="2"/>
          <w:numId w:val="1"/>
        </w:numPr>
        <w:spacing w:line="560" w:lineRule="exact"/>
        <w:ind w:left="0" w:firstLine="640"/>
        <w:jc w:val="left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2130101行政运行100.72万元</w:t>
      </w:r>
    </w:p>
    <w:p>
      <w:pPr>
        <w:pStyle w:val="9"/>
        <w:numPr>
          <w:ilvl w:val="2"/>
          <w:numId w:val="1"/>
        </w:numPr>
        <w:spacing w:line="560" w:lineRule="exact"/>
        <w:ind w:left="0" w:firstLine="640"/>
        <w:jc w:val="left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2130106科技转化与推广服务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12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</w:p>
    <w:p>
      <w:pPr>
        <w:pStyle w:val="9"/>
        <w:numPr>
          <w:ilvl w:val="2"/>
          <w:numId w:val="1"/>
        </w:numPr>
        <w:spacing w:line="560" w:lineRule="exact"/>
        <w:ind w:left="0" w:firstLine="640"/>
        <w:jc w:val="left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2130599其他扶贫支出</w:t>
      </w:r>
      <w:r>
        <w:rPr>
          <w:rFonts w:hint="eastAsia" w:ascii="仿宋_GB2312" w:hAnsi="宋体" w:eastAsia="仿宋_GB2312" w:cs="宋体"/>
          <w:sz w:val="32"/>
          <w:szCs w:val="32"/>
        </w:rPr>
        <w:tab/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0.5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</w:p>
    <w:p>
      <w:pPr>
        <w:spacing w:line="560" w:lineRule="exact"/>
        <w:ind w:firstLine="627" w:firstLineChars="196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三、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年度一般公共预算基本支出情况说明。</w:t>
      </w:r>
    </w:p>
    <w:p>
      <w:pPr>
        <w:spacing w:line="560" w:lineRule="exact"/>
        <w:ind w:firstLine="627" w:firstLineChars="196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政府公用经费为69.58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：其中，办公费10.03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、印刷费3.34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、手续费3.34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、水费0.76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、电费2.05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、邮电费6.27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、差旅费13.38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、公务车辆运行维护费13.38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、维修（护）费10.03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、福利费0.33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、其他商品与服务支出6.67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万元。</w:t>
      </w:r>
    </w:p>
    <w:p>
      <w:pPr>
        <w:spacing w:line="560" w:lineRule="exact"/>
        <w:ind w:firstLine="627" w:firstLineChars="196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四、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年度一</w:t>
      </w:r>
      <w:r>
        <w:rPr>
          <w:rFonts w:ascii="黑体" w:hAnsi="宋体" w:eastAsia="黑体"/>
          <w:sz w:val="32"/>
          <w:szCs w:val="32"/>
        </w:rPr>
        <w:t>般公共预算</w:t>
      </w:r>
      <w:r>
        <w:rPr>
          <w:rFonts w:hint="eastAsia" w:ascii="黑体" w:hAnsi="宋体" w:eastAsia="黑体"/>
          <w:sz w:val="32"/>
          <w:szCs w:val="32"/>
        </w:rPr>
        <w:t>“三公”经费预算情况说明。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</w:rPr>
        <w:t>公务车辆运行维护费13.38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五、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年度政府性基金预算支出情况说明。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我部门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2019</w:t>
      </w:r>
      <w:r>
        <w:rPr>
          <w:rFonts w:hint="eastAsia" w:ascii="仿宋_GB2312" w:hAnsi="宋体" w:eastAsia="仿宋_GB2312" w:cs="宋体"/>
          <w:sz w:val="32"/>
          <w:szCs w:val="32"/>
        </w:rPr>
        <w:t>年度</w:t>
      </w:r>
      <w:r>
        <w:rPr>
          <w:rFonts w:ascii="仿宋_GB2312" w:hAnsi="宋体" w:eastAsia="仿宋_GB2312" w:cs="宋体"/>
          <w:sz w:val="32"/>
          <w:szCs w:val="32"/>
        </w:rPr>
        <w:t>没有使用政府性基金安排的支出</w:t>
      </w:r>
      <w:r>
        <w:rPr>
          <w:rFonts w:hint="eastAsia" w:ascii="仿宋_GB2312" w:hAnsi="宋体" w:eastAsia="仿宋_GB2312" w:cs="宋体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六、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年度收支预算情况总体说明。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2019</w:t>
      </w:r>
      <w:r>
        <w:rPr>
          <w:rFonts w:hint="eastAsia" w:ascii="仿宋_GB2312" w:hAnsi="宋体" w:eastAsia="仿宋_GB2312" w:cs="宋体"/>
          <w:sz w:val="32"/>
          <w:szCs w:val="32"/>
        </w:rPr>
        <w:t>年度，申扎县买巴乡人民政府收支预算总体情况主要有以下几点：工资福利支出787.37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；商品和服务支出69.58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七、关</w:t>
      </w:r>
      <w:r>
        <w:rPr>
          <w:rFonts w:ascii="黑体" w:hAnsi="宋体" w:eastAsia="黑体"/>
          <w:sz w:val="32"/>
          <w:szCs w:val="32"/>
        </w:rPr>
        <w:t>于部门收入总表的说明</w:t>
      </w:r>
      <w:r>
        <w:rPr>
          <w:rFonts w:hint="eastAsia" w:ascii="黑体" w:hAnsi="宋体" w:eastAsia="黑体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2019</w:t>
      </w:r>
      <w:r>
        <w:rPr>
          <w:rFonts w:hint="eastAsia" w:ascii="仿宋_GB2312" w:hAnsi="宋体" w:eastAsia="仿宋_GB2312" w:cs="宋体"/>
          <w:sz w:val="32"/>
          <w:szCs w:val="32"/>
        </w:rPr>
        <w:t>年度，申扎县买巴乡人民政府收入为国库拨款。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八</w:t>
      </w:r>
      <w:r>
        <w:rPr>
          <w:rFonts w:ascii="黑体" w:hAnsi="宋体" w:eastAsia="黑体"/>
          <w:sz w:val="32"/>
          <w:szCs w:val="32"/>
        </w:rPr>
        <w:t>、关于部门支出总表的说明</w:t>
      </w:r>
      <w:r>
        <w:rPr>
          <w:rFonts w:hint="eastAsia" w:ascii="黑体" w:hAnsi="宋体" w:eastAsia="黑体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2019</w:t>
      </w:r>
      <w:r>
        <w:rPr>
          <w:rFonts w:hint="eastAsia" w:ascii="仿宋_GB2312" w:hAnsi="宋体" w:eastAsia="仿宋_GB2312" w:cs="宋体"/>
          <w:sz w:val="32"/>
          <w:szCs w:val="32"/>
        </w:rPr>
        <w:t>年度，申扎县买巴乡人民政府收支预算总体情况主要有以下几点：工资福利支出787.37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；商品和服务支出69.58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九、其他重要事项的情况说明。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（一）机关</w:t>
      </w:r>
      <w:r>
        <w:rPr>
          <w:rFonts w:ascii="仿宋_GB2312" w:hAnsi="宋体" w:eastAsia="仿宋_GB2312" w:cs="宋体"/>
          <w:sz w:val="32"/>
          <w:szCs w:val="32"/>
        </w:rPr>
        <w:t>运行经费安排使用情况说明。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机关运行经费为69.58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：其中，办公费10.03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、印刷费3.34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、手续费3.34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、水费0.76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、电费2.05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、邮电费6.27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、差旅费13.38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、公务车辆运行维护费13.38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、维修（护）费10.03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、福利费0.33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、其他商品与服务支出6.67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（二</w:t>
      </w:r>
      <w:r>
        <w:rPr>
          <w:rFonts w:ascii="仿宋_GB2312" w:hAnsi="宋体" w:eastAsia="仿宋_GB2312" w:cs="宋体"/>
          <w:sz w:val="32"/>
          <w:szCs w:val="32"/>
        </w:rPr>
        <w:t>）</w:t>
      </w:r>
      <w:r>
        <w:rPr>
          <w:rFonts w:hint="eastAsia" w:ascii="仿宋_GB2312" w:hAnsi="宋体" w:eastAsia="仿宋_GB2312" w:cs="宋体"/>
          <w:sz w:val="32"/>
          <w:szCs w:val="32"/>
        </w:rPr>
        <w:t>政府采购情况说明。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未安排该项支出，我县政府采购统一安排在政府办。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（三）国有资产占有使用情况说明。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2019年未安排购置公务用车及专用设备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（四）预算绩效情况说明。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2019年绩效目标实现全覆盖涉及一般公共预算当年拨款总额</w:t>
      </w:r>
      <w:bookmarkStart w:id="0" w:name="_GoBack"/>
      <w:bookmarkEnd w:id="0"/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（五）举借债务情况总体说明。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截止至2018年末，本单位无债务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</w:p>
    <w:p>
      <w:pPr>
        <w:spacing w:line="56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5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第四部分</w:t>
      </w:r>
    </w:p>
    <w:p>
      <w:pPr>
        <w:spacing w:line="56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5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名词解释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一</w:t>
      </w:r>
      <w:r>
        <w:rPr>
          <w:rFonts w:ascii="仿宋_GB2312" w:hAnsi="宋体" w:eastAsia="仿宋_GB2312" w:cs="宋体"/>
          <w:sz w:val="32"/>
          <w:szCs w:val="32"/>
        </w:rPr>
        <w:t>、一般公共预算拨款收入：指财政</w:t>
      </w:r>
      <w:r>
        <w:rPr>
          <w:rFonts w:hint="eastAsia" w:ascii="仿宋_GB2312" w:hAnsi="宋体" w:eastAsia="仿宋_GB2312" w:cs="宋体"/>
          <w:sz w:val="32"/>
          <w:szCs w:val="32"/>
        </w:rPr>
        <w:t>部门</w:t>
      </w:r>
      <w:r>
        <w:rPr>
          <w:rFonts w:ascii="仿宋_GB2312" w:hAnsi="宋体" w:eastAsia="仿宋_GB2312" w:cs="宋体"/>
          <w:sz w:val="32"/>
          <w:szCs w:val="32"/>
        </w:rPr>
        <w:t>当年拨付的资金。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二</w:t>
      </w:r>
      <w:r>
        <w:rPr>
          <w:rFonts w:ascii="仿宋_GB2312" w:hAnsi="宋体" w:eastAsia="仿宋_GB2312" w:cs="宋体"/>
          <w:sz w:val="32"/>
          <w:szCs w:val="32"/>
        </w:rPr>
        <w:t>、其他收入</w:t>
      </w:r>
      <w:r>
        <w:rPr>
          <w:rFonts w:hint="eastAsia" w:ascii="仿宋_GB2312" w:hAnsi="宋体" w:eastAsia="仿宋_GB2312" w:cs="宋体"/>
          <w:sz w:val="32"/>
          <w:szCs w:val="32"/>
        </w:rPr>
        <w:t>：指</w:t>
      </w:r>
      <w:r>
        <w:rPr>
          <w:rFonts w:ascii="仿宋_GB2312" w:hAnsi="宋体" w:eastAsia="仿宋_GB2312" w:cs="宋体"/>
          <w:sz w:val="32"/>
          <w:szCs w:val="32"/>
        </w:rPr>
        <w:t>上述“一般公共预算拨款收入”以外的收入。主</w:t>
      </w:r>
      <w:r>
        <w:rPr>
          <w:rFonts w:hint="eastAsia" w:ascii="仿宋_GB2312" w:hAnsi="宋体" w:eastAsia="仿宋_GB2312" w:cs="宋体"/>
          <w:sz w:val="32"/>
          <w:szCs w:val="32"/>
        </w:rPr>
        <w:t>要</w:t>
      </w:r>
      <w:r>
        <w:rPr>
          <w:rFonts w:ascii="仿宋_GB2312" w:hAnsi="宋体" w:eastAsia="仿宋_GB2312" w:cs="宋体"/>
          <w:sz w:val="32"/>
          <w:szCs w:val="32"/>
        </w:rPr>
        <w:t>是按规定</w:t>
      </w:r>
      <w:r>
        <w:rPr>
          <w:rFonts w:hint="eastAsia" w:ascii="仿宋_GB2312" w:hAnsi="宋体" w:eastAsia="仿宋_GB2312" w:cs="宋体"/>
          <w:sz w:val="32"/>
          <w:szCs w:val="32"/>
        </w:rPr>
        <w:t>动</w:t>
      </w:r>
      <w:r>
        <w:rPr>
          <w:rFonts w:ascii="仿宋_GB2312" w:hAnsi="宋体" w:eastAsia="仿宋_GB2312" w:cs="宋体"/>
          <w:sz w:val="32"/>
          <w:szCs w:val="32"/>
        </w:rPr>
        <w:t>用的</w:t>
      </w:r>
      <w:r>
        <w:rPr>
          <w:rFonts w:hint="eastAsia" w:ascii="仿宋_GB2312" w:hAnsi="宋体" w:eastAsia="仿宋_GB2312" w:cs="宋体"/>
          <w:sz w:val="32"/>
          <w:szCs w:val="32"/>
        </w:rPr>
        <w:t>售房</w:t>
      </w:r>
      <w:r>
        <w:rPr>
          <w:rFonts w:ascii="仿宋_GB2312" w:hAnsi="宋体" w:eastAsia="仿宋_GB2312" w:cs="宋体"/>
          <w:sz w:val="32"/>
          <w:szCs w:val="32"/>
        </w:rPr>
        <w:t>收入、存款利息收入等。</w:t>
      </w:r>
    </w:p>
    <w:p>
      <w:pPr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三、机关运行经费：是指各部门的公用经费，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sz w:val="24"/>
        <w:szCs w:val="24"/>
      </w:rPr>
    </w:pPr>
    <w:r>
      <w:rPr>
        <w:rStyle w:val="6"/>
        <w:sz w:val="24"/>
        <w:szCs w:val="24"/>
      </w:rPr>
      <w:fldChar w:fldCharType="begin"/>
    </w:r>
    <w:r>
      <w:rPr>
        <w:rStyle w:val="6"/>
        <w:sz w:val="24"/>
        <w:szCs w:val="24"/>
      </w:rPr>
      <w:instrText xml:space="preserve">PAGE  </w:instrText>
    </w:r>
    <w:r>
      <w:rPr>
        <w:rStyle w:val="6"/>
        <w:sz w:val="24"/>
        <w:szCs w:val="24"/>
      </w:rPr>
      <w:fldChar w:fldCharType="separate"/>
    </w:r>
    <w:r>
      <w:rPr>
        <w:rStyle w:val="6"/>
        <w:sz w:val="24"/>
        <w:szCs w:val="24"/>
      </w:rPr>
      <w:t>11</w:t>
    </w:r>
    <w:r>
      <w:rPr>
        <w:rStyle w:val="6"/>
        <w:sz w:val="24"/>
        <w:szCs w:val="24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179CC"/>
    <w:multiLevelType w:val="multilevel"/>
    <w:tmpl w:val="228179CC"/>
    <w:lvl w:ilvl="0" w:tentative="0">
      <w:start w:val="1"/>
      <w:numFmt w:val="decimal"/>
      <w:lvlText w:val="%1."/>
      <w:lvlJc w:val="left"/>
      <w:pPr>
        <w:ind w:left="1684" w:hanging="420"/>
      </w:pPr>
    </w:lvl>
    <w:lvl w:ilvl="1" w:tentative="0">
      <w:start w:val="1"/>
      <w:numFmt w:val="lowerLetter"/>
      <w:lvlText w:val="%2)"/>
      <w:lvlJc w:val="left"/>
      <w:pPr>
        <w:ind w:left="2104" w:hanging="420"/>
      </w:pPr>
    </w:lvl>
    <w:lvl w:ilvl="2" w:tentative="0">
      <w:start w:val="1"/>
      <w:numFmt w:val="decimal"/>
      <w:lvlText w:val="%3."/>
      <w:lvlJc w:val="left"/>
      <w:pPr>
        <w:ind w:left="2524" w:hanging="420"/>
      </w:pPr>
    </w:lvl>
    <w:lvl w:ilvl="3" w:tentative="0">
      <w:start w:val="1"/>
      <w:numFmt w:val="decimal"/>
      <w:lvlText w:val="%4."/>
      <w:lvlJc w:val="left"/>
      <w:pPr>
        <w:ind w:left="2944" w:hanging="420"/>
      </w:pPr>
    </w:lvl>
    <w:lvl w:ilvl="4" w:tentative="0">
      <w:start w:val="1"/>
      <w:numFmt w:val="lowerLetter"/>
      <w:lvlText w:val="%5)"/>
      <w:lvlJc w:val="left"/>
      <w:pPr>
        <w:ind w:left="3364" w:hanging="420"/>
      </w:pPr>
    </w:lvl>
    <w:lvl w:ilvl="5" w:tentative="0">
      <w:start w:val="1"/>
      <w:numFmt w:val="lowerRoman"/>
      <w:lvlText w:val="%6."/>
      <w:lvlJc w:val="right"/>
      <w:pPr>
        <w:ind w:left="3784" w:hanging="420"/>
      </w:pPr>
    </w:lvl>
    <w:lvl w:ilvl="6" w:tentative="0">
      <w:start w:val="1"/>
      <w:numFmt w:val="decimal"/>
      <w:lvlText w:val="%7."/>
      <w:lvlJc w:val="left"/>
      <w:pPr>
        <w:ind w:left="4204" w:hanging="420"/>
      </w:pPr>
    </w:lvl>
    <w:lvl w:ilvl="7" w:tentative="0">
      <w:start w:val="1"/>
      <w:numFmt w:val="lowerLetter"/>
      <w:lvlText w:val="%8)"/>
      <w:lvlJc w:val="left"/>
      <w:pPr>
        <w:ind w:left="4624" w:hanging="420"/>
      </w:pPr>
    </w:lvl>
    <w:lvl w:ilvl="8" w:tentative="0">
      <w:start w:val="1"/>
      <w:numFmt w:val="lowerRoman"/>
      <w:lvlText w:val="%9."/>
      <w:lvlJc w:val="right"/>
      <w:pPr>
        <w:ind w:left="504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35"/>
    <w:rsid w:val="00090272"/>
    <w:rsid w:val="000A5B86"/>
    <w:rsid w:val="000F0312"/>
    <w:rsid w:val="0014394C"/>
    <w:rsid w:val="00157716"/>
    <w:rsid w:val="00182BE7"/>
    <w:rsid w:val="001F0873"/>
    <w:rsid w:val="002009E0"/>
    <w:rsid w:val="00283A9E"/>
    <w:rsid w:val="002C66D9"/>
    <w:rsid w:val="003127CD"/>
    <w:rsid w:val="00334E78"/>
    <w:rsid w:val="00357BAA"/>
    <w:rsid w:val="003750D2"/>
    <w:rsid w:val="00525A5F"/>
    <w:rsid w:val="005978A7"/>
    <w:rsid w:val="005A6626"/>
    <w:rsid w:val="00634EE7"/>
    <w:rsid w:val="00642EF0"/>
    <w:rsid w:val="0067309A"/>
    <w:rsid w:val="00680663"/>
    <w:rsid w:val="00687C3F"/>
    <w:rsid w:val="00726E38"/>
    <w:rsid w:val="008C1747"/>
    <w:rsid w:val="008D1FFB"/>
    <w:rsid w:val="0094056C"/>
    <w:rsid w:val="00952029"/>
    <w:rsid w:val="009F2438"/>
    <w:rsid w:val="00A240E7"/>
    <w:rsid w:val="00A65C56"/>
    <w:rsid w:val="00AA1BA1"/>
    <w:rsid w:val="00AD34B6"/>
    <w:rsid w:val="00AD58CE"/>
    <w:rsid w:val="00B56478"/>
    <w:rsid w:val="00B66A35"/>
    <w:rsid w:val="00BB07FF"/>
    <w:rsid w:val="00BD3F16"/>
    <w:rsid w:val="00C97B95"/>
    <w:rsid w:val="00CC7794"/>
    <w:rsid w:val="00CF7F35"/>
    <w:rsid w:val="00D06FF1"/>
    <w:rsid w:val="00D26FA7"/>
    <w:rsid w:val="00DF6024"/>
    <w:rsid w:val="00E45DD5"/>
    <w:rsid w:val="00F91173"/>
    <w:rsid w:val="00FA06C6"/>
    <w:rsid w:val="13CB405D"/>
    <w:rsid w:val="35705F53"/>
    <w:rsid w:val="45A5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0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11</Pages>
  <Words>515</Words>
  <Characters>2941</Characters>
  <Lines>24</Lines>
  <Paragraphs>6</Paragraphs>
  <TotalTime>1</TotalTime>
  <ScaleCrop>false</ScaleCrop>
  <LinksUpToDate>false</LinksUpToDate>
  <CharactersWithSpaces>3450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2018-05-31T14:46:00Z</dcterms:created>
  <dc:creator>Administrator</dc:creator>
  <cp:lastModifiedBy>Administrator</cp:lastModifiedBy>
  <dcterms:modified xsi:type="dcterms:W3CDTF">2019-03-25T17:29:18Z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