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公安局</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公安局概况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公安局</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公安局</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公安局概况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1、指挥中心（办公室、警务保障室）</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负责接报警和指挥处警工作；负责授权的警务指挥及协调工作；办公室：负责调查研究和起草重要文件工作；负责机要、通信等工作；负责上级交办的其它工作。警务保障室</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负责财务装备、警务保障、科技管理和后勤服务工作；负责上级交办的其他工作。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2、政工室负责公安政治工作；负责维护民警合法权益工作；负责上级交办的其他工作。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3、纪检监督室（督察大队）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负责公安纪律检查、行政监察、警务督察、经济审计工作；负责上级交办的其他工作。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4、国内安全保卫大队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负责国内安全保卫、反邪教等工作；负责对维权活动、非政府组织进行调查工作；负责民族、宗教、意识形态领域等方面维护国家安全工作。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5、刑事侦查大队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负责刑事侦查、反恐怖工作；负责刑事科学技术工作；负责刑事案件预审工作；负责上级交办的其他工作。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6、交通管理大队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负责交通管理工作；承担道路治安巡逻任务；负责上级交办的其他工作。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7、治安管理大队（爆炸危险物品监管大队）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负责治安管理、户政管理、公共信息网络安全监察等工作；社会面的巡逻防控工作；负责对公共场所、特种行业的管理，负责内部单位保卫、警卫工作；负责突发事件处置等工作。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8、法制室（看守所）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公安法制方面的工作；负责公安信访工作；负责上级交办的其他工作。看守所：依据国家法律对被羁押的在押人员实行武装警戒看守，保障安全；配合有关部门，开展深挖犯罪工作；对在押人员进行教育，管理在押人员的生活和卫生；保障侦查、起诉和审判工作的顺利进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9、网安大队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协调、监督、检查、指导对本地区党政机关和金融机构等重要部门公共信息网络和互联网的安全保护管理工作。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10、派出所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派出所按照实行“一乡（镇）一所”。各乡（镇）设立的8个基层派出所其主要职责是依法查处危害社会治安秩序的行为；依法管理治安、户政、居民身份证的有关事务；依法管理集会、游行、示威活动等。</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黑体" w:eastAsia="黑体"/>
          <w:sz w:val="44"/>
          <w:szCs w:val="44"/>
        </w:rPr>
      </w:pPr>
      <w:r>
        <w:rPr>
          <w:rFonts w:hint="eastAsia" w:ascii="仿宋" w:hAnsi="仿宋" w:eastAsia="仿宋" w:cs="仿宋"/>
          <w:sz w:val="32"/>
          <w:szCs w:val="32"/>
        </w:rPr>
        <w:t xml:space="preserve">  </w:t>
      </w:r>
      <w:r>
        <w:rPr>
          <w:rFonts w:hint="eastAsia" w:ascii="仿宋" w:hAnsi="仿宋" w:eastAsia="仿宋" w:cs="宋体"/>
          <w:color w:val="666666"/>
          <w:kern w:val="0"/>
          <w:sz w:val="32"/>
          <w:szCs w:val="32"/>
        </w:rPr>
        <w:t>1、指挥中心（办公室、警务保障室）2、政工室3、纪检监察室4、国保大队5、刑警大队6、交警大队7、治安大队8、法制科9、网安大队10、乡镇派出所8个。</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公安局</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公安局</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年预算安排的总财力为3119.09</w:t>
      </w:r>
      <w:r>
        <w:rPr>
          <w:rFonts w:hint="eastAsia" w:ascii="仿宋" w:hAnsi="仿宋" w:eastAsia="仿宋" w:cs="仿宋"/>
          <w:sz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年度一般公共预算拨款规模有所增加，与上年预算数相比增加</w:t>
      </w:r>
      <w:r>
        <w:rPr>
          <w:rFonts w:hint="eastAsia" w:ascii="仿宋_GB2312" w:hAnsi="宋体" w:eastAsia="仿宋_GB2312" w:cs="宋体"/>
          <w:sz w:val="32"/>
          <w:szCs w:val="32"/>
          <w:lang w:val="en-US" w:eastAsia="zh-CN"/>
        </w:rPr>
        <w:t>882.18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（二）公共安全支出3119.09</w:t>
      </w:r>
      <w:r>
        <w:rPr>
          <w:rFonts w:hint="eastAsia" w:ascii="仿宋_GB2312" w:hAnsi="宋体" w:eastAsia="仿宋_GB2312" w:cs="宋体"/>
          <w:sz w:val="32"/>
          <w:szCs w:val="32"/>
          <w:lang w:eastAsia="zh-CN"/>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1、2040201行政运行2894.38</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、2040299其他公安支出224.71</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公用经费为452.69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：其中，办公费66.65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、印刷费22.22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、手续费22.22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、公用水费1.97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、公用电费5.5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、邮电费44.44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、差旅费88.87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、公务车辆运行维护费88.87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、维修（护）费66.65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、福利费0.86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、其他商品与服务支出44.44</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公务车辆运行维护费732693.6</w:t>
      </w:r>
      <w:r>
        <w:rPr>
          <w:rFonts w:hint="eastAsia" w:ascii="仿宋_GB2312" w:hAnsi="宋体" w:eastAsia="仿宋_GB2312" w:cs="宋体"/>
          <w:sz w:val="32"/>
          <w:szCs w:val="32"/>
          <w:lang w:eastAsia="zh-CN"/>
        </w:rPr>
        <w:t>万元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年度，申扎县公安局收支预算总体情况主要有以下几点：工资福利支出2440.69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；商品和服务支出452.69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年度，申扎县公安局收入为国库拨款。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年度，申扎县公安局收支预算总体情况主要有以下几点：工资福利支出2440.69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；商品和服务支出452.69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机关运行经费为452.69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：其中，办公费66.65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、印刷费22.22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、手续费22.22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、公用水费1.97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、公用电费5.5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、邮电费44.44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、差旅费88.87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、公务车辆运行维护费88.87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、维修（护）费66.65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、福利费0.86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、其他商品与服务支出44.44</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w:t>
      </w:r>
      <w:r>
        <w:rPr>
          <w:rFonts w:hint="eastAsia" w:ascii="仿宋_GB2312" w:hAnsi="宋体" w:eastAsia="仿宋_GB2312" w:cs="宋体"/>
          <w:sz w:val="32"/>
          <w:szCs w:val="32"/>
          <w:lang w:eastAsia="zh-CN"/>
        </w:rPr>
        <w:t>总额</w:t>
      </w:r>
      <w:bookmarkStart w:id="0" w:name="_GoBack"/>
      <w:bookmarkEnd w:id="0"/>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8</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23993"/>
    <w:rsid w:val="00283A9E"/>
    <w:rsid w:val="00344B1C"/>
    <w:rsid w:val="003750D2"/>
    <w:rsid w:val="005978A7"/>
    <w:rsid w:val="00634EE7"/>
    <w:rsid w:val="00794FB6"/>
    <w:rsid w:val="008C1747"/>
    <w:rsid w:val="0094056C"/>
    <w:rsid w:val="00A65C56"/>
    <w:rsid w:val="00AA1BA1"/>
    <w:rsid w:val="00AD34B6"/>
    <w:rsid w:val="00BD3F16"/>
    <w:rsid w:val="00CC7794"/>
    <w:rsid w:val="00CF7F35"/>
    <w:rsid w:val="00D06FF1"/>
    <w:rsid w:val="00DF6024"/>
    <w:rsid w:val="2F491F91"/>
    <w:rsid w:val="52BE4789"/>
    <w:rsid w:val="7916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439</Words>
  <Characters>2504</Characters>
  <Lines>20</Lines>
  <Paragraphs>5</Paragraphs>
  <TotalTime>0</TotalTime>
  <ScaleCrop>false</ScaleCrop>
  <LinksUpToDate>false</LinksUpToDate>
  <CharactersWithSpaces>2938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2018-05-29T02:25:00Z</dcterms:created>
  <dc:creator>Administrator</dc:creator>
  <cp:lastModifiedBy>Administrator</cp:lastModifiedBy>
  <dcterms:modified xsi:type="dcterms:W3CDTF">2019-03-25T17:32:59Z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