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档案馆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档案馆概况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档案馆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档案馆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档案馆概况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1.贯彻执行《中华人民共和国档案法》及党和国家有关档案工作的方针、政策，按照统一领导、分级管理的原则对全县档案事业实行统筹规划，制定全县档案工作规范性文件并负责组织实施。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2.依法指导、监督、检查、协调全县机关、党派、团体、企事业单位和其他组织的档案工作。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3.负责接收、征集、整理、集中保管全县机关的重要档案盒珍贵历史资料。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4.开展档案编研工作，负责档案目录中心工作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档案馆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档案馆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档案馆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年预算安排的总财力为116.52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40.93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116.52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1、201260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    档案馆   114.52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2、2012699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其他档案事务支出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公用经费为80000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年度，申扎县档案馆收支预算总体情况主要有以下几点：工资福利支出105.87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年度，申扎县档案馆收入为国库拨款。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年度，申扎县档案馆收支预算总体情况主要有以下几点：工资福利支出105.87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机关运行经费为80000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：其中，办公费8.65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、公务车辆运行维护费1.64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、其他商品与服务支出0.82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" w:hAnsi="仿宋" w:eastAsia="仿宋" w:cs="仿宋"/>
          <w:sz w:val="32"/>
        </w:rPr>
        <w:t>116.52</w:t>
      </w:r>
      <w:r>
        <w:rPr>
          <w:rFonts w:hint="eastAsia" w:ascii="仿宋_GB2312" w:hAnsi="宋体" w:eastAsia="仿宋_GB2312" w:cs="宋体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2C712D"/>
    <w:rsid w:val="003750D2"/>
    <w:rsid w:val="00525A5F"/>
    <w:rsid w:val="005978A7"/>
    <w:rsid w:val="00634EE7"/>
    <w:rsid w:val="008C1747"/>
    <w:rsid w:val="008D1FFB"/>
    <w:rsid w:val="0094056C"/>
    <w:rsid w:val="009F2438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2D7324C6"/>
    <w:rsid w:val="5AFA35FF"/>
    <w:rsid w:val="69A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307</Words>
  <Characters>1752</Characters>
  <Lines>14</Lines>
  <Paragraphs>4</Paragraphs>
  <TotalTime>0</TotalTime>
  <ScaleCrop>false</ScaleCrop>
  <LinksUpToDate>false</LinksUpToDate>
  <CharactersWithSpaces>2055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2018-05-29T07:08:00Z</dcterms:created>
  <dc:creator>Administrator</dc:creator>
  <cp:lastModifiedBy>Administrator</cp:lastModifiedBy>
  <dcterms:modified xsi:type="dcterms:W3CDTF">2019-03-25T14:19:10Z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