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法院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法院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法院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法院2019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法院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判刑事案件、民事案件和行政案件，并且通过审判活动，惩办一切犯罪分子，维护社会主义法治和社会铁序，保护社会主义的全民所有的财产、劳动群众集体所有财产，保护公民私人所有合法财产，保护公民的人身权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行政办公室、行政审判庭、民事审判庭、刑事审判庭、立案庭、审判监督庭、执行局、法警大队8个内设机构，雄梅法庭。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法院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法院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本年收入为6730000元，上年为3200000元，增加110.31%，增长原因为：人员增加，经费增加，下绩效增资。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本年支出为5505348.13元，上年为3200000元，增加72.04%，增长原因为：人员增加，经费增加，下绩效增资。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本年度机关运行经费共计525921.73元，上年度481676元，增加9.19%，主要原因是：细化决算，人员增加。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截止2018年末，本单位有公务用车6辆，其中执法执勤通车4辆，本年度无新增车辆。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公务车辆运行维护费118409.61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17BF10AD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73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2019-03-26T07:37:24Z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