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CB5C1E" w:rsidP="00182BE7">
      <w:pPr>
        <w:spacing w:line="640" w:lineRule="exact"/>
        <w:jc w:val="center"/>
        <w:rPr>
          <w:rFonts w:ascii="黑体" w:eastAsia="黑体"/>
          <w:b/>
          <w:sz w:val="52"/>
          <w:szCs w:val="52"/>
        </w:rPr>
      </w:pPr>
      <w:r>
        <w:rPr>
          <w:rFonts w:ascii="黑体" w:eastAsia="黑体" w:hint="eastAsia"/>
          <w:b/>
          <w:sz w:val="52"/>
          <w:szCs w:val="52"/>
        </w:rPr>
        <w:t>信访局</w:t>
      </w:r>
      <w:r w:rsidR="00DF3BED">
        <w:rPr>
          <w:rFonts w:ascii="黑体" w:eastAsia="黑体"/>
          <w:b/>
          <w:sz w:val="52"/>
          <w:szCs w:val="52"/>
        </w:rPr>
        <w:t>2017</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DF3BED" w:rsidP="00182BE7">
      <w:pPr>
        <w:jc w:val="center"/>
        <w:rPr>
          <w:rFonts w:ascii="宋体" w:hAnsi="宋体"/>
          <w:sz w:val="32"/>
          <w:szCs w:val="32"/>
          <w:u w:val="single"/>
        </w:rPr>
      </w:pPr>
      <w:r>
        <w:rPr>
          <w:rFonts w:ascii="宋体" w:hAnsi="宋体" w:hint="eastAsia"/>
          <w:sz w:val="32"/>
          <w:szCs w:val="32"/>
          <w:u w:val="single"/>
        </w:rPr>
        <w:t>2018</w:t>
      </w:r>
      <w:r w:rsidR="00182BE7" w:rsidRPr="00D57776">
        <w:rPr>
          <w:rFonts w:ascii="宋体" w:hAnsi="宋体" w:hint="eastAsia"/>
          <w:sz w:val="32"/>
          <w:szCs w:val="32"/>
        </w:rPr>
        <w:t>年</w:t>
      </w:r>
      <w:r>
        <w:rPr>
          <w:rFonts w:ascii="宋体" w:hAnsi="宋体" w:hint="eastAsia"/>
          <w:sz w:val="32"/>
          <w:szCs w:val="32"/>
          <w:u w:val="single"/>
        </w:rPr>
        <w:t>12</w:t>
      </w:r>
      <w:r w:rsidR="00182BE7" w:rsidRPr="00D57776">
        <w:rPr>
          <w:rFonts w:ascii="宋体" w:hAnsi="宋体" w:hint="eastAsia"/>
          <w:sz w:val="32"/>
          <w:szCs w:val="32"/>
        </w:rPr>
        <w:t>月</w:t>
      </w:r>
      <w:r>
        <w:rPr>
          <w:rFonts w:ascii="宋体" w:hAnsi="宋体" w:hint="eastAsia"/>
          <w:sz w:val="32"/>
          <w:szCs w:val="32"/>
          <w:u w:val="single"/>
        </w:rPr>
        <w:t>14</w:t>
      </w:r>
      <w:r w:rsidR="00182BE7"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CB5C1E">
        <w:rPr>
          <w:rFonts w:ascii="黑体" w:eastAsia="黑体" w:hAnsi="宋体" w:hint="eastAsia"/>
          <w:sz w:val="32"/>
          <w:szCs w:val="32"/>
        </w:rPr>
        <w:t>信访局</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CB5C1E">
        <w:rPr>
          <w:rFonts w:ascii="黑体" w:eastAsia="黑体" w:hAnsi="宋体" w:hint="eastAsia"/>
          <w:sz w:val="32"/>
          <w:szCs w:val="32"/>
        </w:rPr>
        <w:t>信访局</w:t>
      </w:r>
      <w:r w:rsidR="00DF3BED">
        <w:rPr>
          <w:rFonts w:ascii="黑体" w:eastAsia="黑体" w:hAnsi="宋体"/>
          <w:sz w:val="32"/>
          <w:szCs w:val="32"/>
        </w:rPr>
        <w:t>2017</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CB5C1E">
        <w:rPr>
          <w:rFonts w:ascii="黑体" w:eastAsia="黑体" w:hAnsi="宋体" w:hint="eastAsia"/>
          <w:sz w:val="32"/>
          <w:szCs w:val="32"/>
        </w:rPr>
        <w:t>信访局</w:t>
      </w:r>
      <w:r w:rsidR="00DF3BED">
        <w:rPr>
          <w:rFonts w:ascii="黑体" w:eastAsia="黑体" w:hAnsi="宋体"/>
          <w:sz w:val="32"/>
          <w:szCs w:val="32"/>
        </w:rPr>
        <w:t>2017</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CB5C1E" w:rsidP="00182BE7">
      <w:pPr>
        <w:spacing w:line="460" w:lineRule="exact"/>
        <w:jc w:val="center"/>
        <w:rPr>
          <w:rFonts w:ascii="黑体" w:eastAsia="黑体" w:hAnsi="宋体"/>
          <w:sz w:val="44"/>
          <w:szCs w:val="44"/>
        </w:rPr>
      </w:pPr>
      <w:r>
        <w:rPr>
          <w:rFonts w:ascii="黑体" w:eastAsia="黑体" w:hAnsi="宋体" w:hint="eastAsia"/>
          <w:sz w:val="44"/>
          <w:szCs w:val="44"/>
        </w:rPr>
        <w:t>信访局</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AA1BA1" w:rsidRDefault="003316E4" w:rsidP="00AA1BA1">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AA1BA1">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CB5C1E" w:rsidRPr="00CB5C1E" w:rsidRDefault="00AA1BA1" w:rsidP="00CB5C1E">
      <w:pPr>
        <w:ind w:firstLineChars="200" w:firstLine="640"/>
        <w:jc w:val="left"/>
        <w:rPr>
          <w:rFonts w:ascii="仿宋" w:eastAsia="仿宋" w:hAnsi="仿宋" w:cs="仿宋"/>
          <w:sz w:val="32"/>
          <w:szCs w:val="32"/>
        </w:rPr>
      </w:pPr>
      <w:r w:rsidRPr="00AA1BA1">
        <w:rPr>
          <w:rFonts w:ascii="仿宋" w:eastAsia="仿宋" w:hAnsi="仿宋" w:cs="仿宋" w:hint="eastAsia"/>
          <w:sz w:val="32"/>
          <w:szCs w:val="32"/>
        </w:rPr>
        <w:t>1.</w:t>
      </w:r>
      <w:r w:rsidR="00CB5C1E" w:rsidRPr="00CB5C1E">
        <w:rPr>
          <w:rFonts w:hint="eastAsia"/>
        </w:rPr>
        <w:t xml:space="preserve"> </w:t>
      </w:r>
      <w:r w:rsidR="00CB5C1E" w:rsidRPr="00CB5C1E">
        <w:rPr>
          <w:rFonts w:ascii="仿宋" w:eastAsia="仿宋" w:hAnsi="仿宋" w:cs="仿宋" w:hint="eastAsia"/>
          <w:sz w:val="32"/>
          <w:szCs w:val="32"/>
        </w:rPr>
        <w:t>贯彻执行国家、区、市关于信访工作的方针、政策和法律法规；宣传和贯彻落实国务院《信访条例》（国务院令第431号）和自治区有关规定；起草有关信访工作的文件；增强信访工作的预见性和针对性。</w:t>
      </w:r>
    </w:p>
    <w:p w:rsidR="00CB5C1E" w:rsidRPr="00CB5C1E" w:rsidRDefault="00CB5C1E" w:rsidP="00CB5C1E">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Pr="00CB5C1E">
        <w:rPr>
          <w:rFonts w:ascii="仿宋" w:eastAsia="仿宋" w:hAnsi="仿宋" w:cs="仿宋" w:hint="eastAsia"/>
          <w:sz w:val="32"/>
          <w:szCs w:val="32"/>
        </w:rPr>
        <w:t>负责处理群众来信，接待群众来访；向县委、人大、政府、政协及县委办公室、人大办公室、政府办公室、政协办公室反映来信来访中提出的重要建议、意见和问题。</w:t>
      </w:r>
    </w:p>
    <w:p w:rsidR="00CB5C1E" w:rsidRPr="00CB5C1E" w:rsidRDefault="00CB5C1E" w:rsidP="00CB5C1E">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Pr="00CB5C1E">
        <w:rPr>
          <w:rFonts w:ascii="仿宋" w:eastAsia="仿宋" w:hAnsi="仿宋" w:cs="仿宋" w:hint="eastAsia"/>
          <w:sz w:val="32"/>
          <w:szCs w:val="32"/>
        </w:rPr>
        <w:t>负责办理那曲市信访局和县领导批办、交办的信访事项，承办其他县转办的群众来信；负责向各乡（镇）和县直各单位转办、交办信访事项；督促、检查、反馈信访事项的处理、落实情况。</w:t>
      </w:r>
    </w:p>
    <w:p w:rsidR="00CB5C1E" w:rsidRPr="00CB5C1E" w:rsidRDefault="00CB5C1E" w:rsidP="00CB5C1E">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Pr="00CB5C1E">
        <w:rPr>
          <w:rFonts w:ascii="仿宋" w:eastAsia="仿宋" w:hAnsi="仿宋" w:cs="仿宋" w:hint="eastAsia"/>
          <w:sz w:val="32"/>
          <w:szCs w:val="32"/>
        </w:rPr>
        <w:t>负责协调信访工作宣传和信访信息的汇集、分析、报送、发布。</w:t>
      </w:r>
    </w:p>
    <w:p w:rsidR="00CB5C1E" w:rsidRPr="00CB5C1E" w:rsidRDefault="00CB5C1E" w:rsidP="00CB5C1E">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sidRPr="00CB5C1E">
        <w:rPr>
          <w:rFonts w:ascii="仿宋" w:eastAsia="仿宋" w:hAnsi="仿宋" w:cs="仿宋" w:hint="eastAsia"/>
          <w:sz w:val="32"/>
          <w:szCs w:val="32"/>
        </w:rPr>
        <w:t>负责综合协调处理全县信访工作；总结推广各乡（镇）和县直各部门信访工作经验，提出改进和加强信访工作的意</w:t>
      </w:r>
      <w:r w:rsidRPr="00CB5C1E">
        <w:rPr>
          <w:rFonts w:ascii="仿宋" w:eastAsia="仿宋" w:hAnsi="仿宋" w:cs="仿宋" w:hint="eastAsia"/>
          <w:sz w:val="32"/>
          <w:szCs w:val="32"/>
        </w:rPr>
        <w:lastRenderedPageBreak/>
        <w:t>见和建议。</w:t>
      </w:r>
    </w:p>
    <w:p w:rsidR="00182BE7" w:rsidRPr="00AC2F74" w:rsidRDefault="00CB5C1E" w:rsidP="00CB5C1E">
      <w:pPr>
        <w:ind w:firstLineChars="200" w:firstLine="640"/>
        <w:jc w:val="left"/>
        <w:rPr>
          <w:rFonts w:ascii="仿宋_GB2312" w:eastAsia="仿宋_GB2312"/>
          <w:sz w:val="32"/>
          <w:szCs w:val="32"/>
        </w:rPr>
      </w:pPr>
      <w:r>
        <w:rPr>
          <w:rFonts w:ascii="仿宋" w:eastAsia="仿宋" w:hAnsi="仿宋" w:cs="仿宋" w:hint="eastAsia"/>
          <w:sz w:val="32"/>
          <w:szCs w:val="32"/>
        </w:rPr>
        <w:t>6.</w:t>
      </w:r>
      <w:r w:rsidRPr="00CB5C1E">
        <w:rPr>
          <w:rFonts w:ascii="仿宋" w:eastAsia="仿宋" w:hAnsi="仿宋" w:cs="仿宋" w:hint="eastAsia"/>
          <w:sz w:val="32"/>
          <w:szCs w:val="32"/>
        </w:rPr>
        <w:t>承担全县处理信访突出问题及群体性事件联席会议办公室的日常工作，督促落实联席会议决定的事项。</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Pr="00B97D4E" w:rsidRDefault="00182BE7" w:rsidP="00AA1BA1">
      <w:pPr>
        <w:spacing w:line="460" w:lineRule="exact"/>
        <w:ind w:firstLineChars="200" w:firstLine="640"/>
        <w:jc w:val="left"/>
        <w:rPr>
          <w:rFonts w:ascii="黑体" w:eastAsia="黑体"/>
          <w:sz w:val="44"/>
          <w:szCs w:val="44"/>
        </w:rPr>
      </w:pPr>
      <w:r>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CB5C1E" w:rsidP="00182BE7">
      <w:pPr>
        <w:spacing w:line="460" w:lineRule="exact"/>
        <w:jc w:val="center"/>
        <w:rPr>
          <w:rFonts w:ascii="黑体" w:eastAsia="黑体"/>
          <w:sz w:val="44"/>
          <w:szCs w:val="44"/>
        </w:rPr>
      </w:pPr>
      <w:r>
        <w:rPr>
          <w:rFonts w:ascii="黑体" w:eastAsia="黑体" w:hAnsi="宋体" w:hint="eastAsia"/>
          <w:sz w:val="44"/>
          <w:szCs w:val="44"/>
        </w:rPr>
        <w:t>信访局</w:t>
      </w:r>
      <w:r w:rsidR="00DF3BED">
        <w:rPr>
          <w:rFonts w:ascii="黑体" w:eastAsia="黑体" w:hAnsi="宋体"/>
          <w:sz w:val="44"/>
          <w:szCs w:val="44"/>
        </w:rPr>
        <w:t>2017</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CB5C1E"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信访局</w:t>
      </w:r>
      <w:r w:rsidR="00DF3BED">
        <w:rPr>
          <w:rFonts w:ascii="黑体" w:eastAsia="黑体" w:hAnsi="宋体"/>
          <w:sz w:val="44"/>
          <w:szCs w:val="44"/>
        </w:rPr>
        <w:t>2017</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sidR="00DF3BED">
        <w:rPr>
          <w:rFonts w:ascii="黑体" w:eastAsia="黑体" w:hAnsi="宋体"/>
          <w:sz w:val="32"/>
          <w:szCs w:val="32"/>
        </w:rPr>
        <w:t>2017</w:t>
      </w:r>
      <w:r>
        <w:rPr>
          <w:rFonts w:ascii="黑体" w:eastAsia="黑体" w:hAnsi="宋体" w:hint="eastAsia"/>
          <w:sz w:val="32"/>
          <w:szCs w:val="32"/>
        </w:rPr>
        <w:t>年度财政拨款收支预算情况总体说明。</w:t>
      </w:r>
    </w:p>
    <w:p w:rsidR="00DF3BED" w:rsidRDefault="00DF3BED" w:rsidP="00DF3BED">
      <w:pPr>
        <w:spacing w:line="520" w:lineRule="exact"/>
        <w:ind w:firstLineChars="200" w:firstLine="640"/>
        <w:rPr>
          <w:rFonts w:ascii="仿宋" w:eastAsia="仿宋" w:hAnsi="仿宋" w:cs="仿宋"/>
          <w:sz w:val="32"/>
        </w:rPr>
      </w:pPr>
      <w:r>
        <w:rPr>
          <w:rFonts w:ascii="仿宋" w:eastAsia="仿宋" w:hAnsi="仿宋" w:cs="仿宋" w:hint="eastAsia"/>
          <w:sz w:val="32"/>
        </w:rPr>
        <w:t>2017年预算安排的总财力为40295.92万元(含教育10300.55万元)实际能分配的财力29995.37万元，其中：①原体制补助收入391.9万元；②转移性补助收入26906.88万元；③税费改革补助收入466.79万元；④地方财政收入2229.8万元。</w:t>
      </w:r>
    </w:p>
    <w:p w:rsidR="00182BE7" w:rsidRPr="00B97D4E" w:rsidRDefault="00182BE7" w:rsidP="00182BE7">
      <w:pPr>
        <w:spacing w:line="560" w:lineRule="exact"/>
        <w:ind w:firstLineChars="196" w:firstLine="627"/>
        <w:rPr>
          <w:rFonts w:ascii="仿宋_GB2312" w:eastAsia="仿宋_GB2312" w:hAnsi="宋体" w:cs="宋体"/>
          <w:sz w:val="32"/>
          <w:szCs w:val="32"/>
        </w:rPr>
      </w:pPr>
      <w:bookmarkStart w:id="0" w:name="_GoBack"/>
      <w:bookmarkEnd w:id="0"/>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DF6024" w:rsidRDefault="00182BE7" w:rsidP="00CB5C1E">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CB5C1E">
        <w:rPr>
          <w:rFonts w:ascii="仿宋_GB2312" w:eastAsia="仿宋_GB2312" w:hAnsi="宋体" w:cs="宋体" w:hint="eastAsia"/>
          <w:sz w:val="32"/>
          <w:szCs w:val="32"/>
        </w:rPr>
        <w:t>2010308</w:t>
      </w:r>
      <w:r w:rsidR="00CB5C1E" w:rsidRPr="00CB5C1E">
        <w:rPr>
          <w:rFonts w:ascii="仿宋_GB2312" w:eastAsia="仿宋_GB2312" w:hAnsi="宋体" w:cs="宋体" w:hint="eastAsia"/>
          <w:sz w:val="32"/>
          <w:szCs w:val="32"/>
        </w:rPr>
        <w:t>信访事务</w:t>
      </w:r>
      <w:r w:rsidR="00CB5C1E" w:rsidRPr="00CB5C1E">
        <w:rPr>
          <w:rFonts w:ascii="仿宋_GB2312" w:eastAsia="仿宋_GB2312" w:hAnsi="宋体" w:cs="宋体" w:hint="eastAsia"/>
          <w:sz w:val="32"/>
          <w:szCs w:val="32"/>
        </w:rPr>
        <w:tab/>
      </w:r>
      <w:r w:rsidR="00DF3BED" w:rsidRPr="00DF3BED">
        <w:rPr>
          <w:rFonts w:ascii="仿宋_GB2312" w:eastAsia="仿宋_GB2312" w:hAnsi="宋体" w:cs="宋体"/>
          <w:sz w:val="32"/>
          <w:szCs w:val="32"/>
        </w:rPr>
        <w:t>441828</w:t>
      </w:r>
      <w:r w:rsidR="00CB5C1E">
        <w:rPr>
          <w:rFonts w:ascii="仿宋_GB2312" w:eastAsia="仿宋_GB2312" w:hAnsi="宋体" w:cs="宋体" w:hint="eastAsia"/>
          <w:sz w:val="32"/>
          <w:szCs w:val="32"/>
        </w:rPr>
        <w:t>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00DF3BED">
        <w:rPr>
          <w:rFonts w:ascii="黑体" w:eastAsia="黑体" w:hAnsi="宋体"/>
          <w:sz w:val="32"/>
          <w:szCs w:val="32"/>
        </w:rPr>
        <w:t>2017</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B97D4E" w:rsidRDefault="00CB5C1E" w:rsidP="00CB5C1E">
      <w:pPr>
        <w:spacing w:line="560" w:lineRule="exact"/>
        <w:ind w:firstLineChars="196" w:firstLine="627"/>
        <w:rPr>
          <w:rFonts w:ascii="仿宋_GB2312" w:eastAsia="仿宋_GB2312" w:hAnsi="宋体" w:cs="宋体"/>
          <w:sz w:val="32"/>
          <w:szCs w:val="32"/>
        </w:rPr>
      </w:pPr>
      <w:r w:rsidRPr="00CB5C1E">
        <w:rPr>
          <w:rFonts w:ascii="仿宋_GB2312" w:eastAsia="仿宋_GB2312" w:hAnsi="宋体" w:cs="宋体" w:hint="eastAsia"/>
          <w:sz w:val="32"/>
          <w:szCs w:val="32"/>
        </w:rPr>
        <w:t>经费总计568000元：（1）、公用经费为</w:t>
      </w:r>
      <w:r w:rsidR="00DF3BED">
        <w:rPr>
          <w:rFonts w:ascii="仿宋_GB2312" w:eastAsia="仿宋_GB2312" w:hAnsi="宋体" w:cs="宋体" w:hint="eastAsia"/>
          <w:sz w:val="32"/>
          <w:szCs w:val="32"/>
        </w:rPr>
        <w:t>491828</w:t>
      </w:r>
      <w:r w:rsidRPr="00CB5C1E">
        <w:rPr>
          <w:rFonts w:ascii="仿宋_GB2312" w:eastAsia="仿宋_GB2312" w:hAnsi="宋体" w:cs="宋体" w:hint="eastAsia"/>
          <w:sz w:val="32"/>
          <w:szCs w:val="32"/>
        </w:rPr>
        <w:t>元：其中，办公费5275.8元、印刷费1758.6元、手续费1758.6元、公用水费450元、公用电费1260元、邮电费3517.2元、差旅费7034.4元、取暖费10920元、公务车辆运行维护费7034.4元、维修（护）费5275.8元、福利费198元、其他商品与服务支出3517.2元；  （2）、专项经费为50000元：其中，、重大疑难信访案件调处基金50000元；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00DF3BED">
        <w:rPr>
          <w:rFonts w:ascii="黑体" w:eastAsia="黑体" w:hAnsi="宋体"/>
          <w:sz w:val="32"/>
          <w:szCs w:val="32"/>
        </w:rPr>
        <w:t>2017</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3750D2" w:rsidP="003750D2">
      <w:pPr>
        <w:spacing w:line="560" w:lineRule="exact"/>
        <w:ind w:firstLineChars="200" w:firstLine="640"/>
        <w:rPr>
          <w:rFonts w:ascii="仿宋_GB2312" w:eastAsia="仿宋_GB2312" w:hAnsi="宋体" w:cs="宋体"/>
          <w:sz w:val="32"/>
          <w:szCs w:val="32"/>
        </w:rPr>
      </w:pPr>
      <w:r w:rsidRPr="003750D2">
        <w:rPr>
          <w:rFonts w:ascii="仿宋_GB2312" w:eastAsia="仿宋_GB2312" w:hAnsi="宋体" w:cs="宋体" w:hint="eastAsia"/>
          <w:sz w:val="32"/>
          <w:szCs w:val="32"/>
        </w:rPr>
        <w:t>公务车辆运行维护费</w:t>
      </w:r>
      <w:r w:rsidR="00CB5C1E">
        <w:rPr>
          <w:rFonts w:ascii="仿宋_GB2312" w:eastAsia="仿宋_GB2312" w:hAnsi="宋体" w:cs="宋体" w:hint="eastAsia"/>
          <w:sz w:val="32"/>
          <w:szCs w:val="32"/>
        </w:rPr>
        <w:t>7034.4</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00DF3BED">
        <w:rPr>
          <w:rFonts w:ascii="黑体" w:eastAsia="黑体" w:hAnsi="宋体"/>
          <w:sz w:val="32"/>
          <w:szCs w:val="32"/>
        </w:rPr>
        <w:t>2017</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我部门</w:t>
      </w:r>
      <w:r w:rsidR="00DF3BED">
        <w:rPr>
          <w:rFonts w:ascii="仿宋_GB2312" w:eastAsia="仿宋_GB2312" w:hAnsi="宋体" w:cs="宋体" w:hint="eastAsia"/>
          <w:sz w:val="32"/>
          <w:szCs w:val="32"/>
        </w:rPr>
        <w:t>2017</w:t>
      </w:r>
      <w:r>
        <w:rPr>
          <w:rFonts w:ascii="仿宋_GB2312" w:eastAsia="仿宋_GB2312" w:hAnsi="宋体" w:cs="宋体" w:hint="eastAsia"/>
          <w:sz w:val="32"/>
          <w:szCs w:val="32"/>
        </w:rPr>
        <w:t>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00DF3BED">
        <w:rPr>
          <w:rFonts w:ascii="黑体" w:eastAsia="黑体" w:hAnsi="宋体"/>
          <w:sz w:val="32"/>
          <w:szCs w:val="32"/>
        </w:rPr>
        <w:t>2017</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DF3BED"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2017</w:t>
      </w:r>
      <w:r w:rsidR="00182BE7" w:rsidRPr="00CA0D2E">
        <w:rPr>
          <w:rFonts w:ascii="仿宋_GB2312" w:eastAsia="仿宋_GB2312" w:hAnsi="宋体" w:cs="宋体" w:hint="eastAsia"/>
          <w:sz w:val="32"/>
          <w:szCs w:val="32"/>
        </w:rPr>
        <w:t>年度</w:t>
      </w:r>
      <w:r w:rsidR="00182BE7">
        <w:rPr>
          <w:rFonts w:ascii="仿宋_GB2312" w:eastAsia="仿宋_GB2312" w:hAnsi="宋体" w:cs="宋体" w:hint="eastAsia"/>
          <w:sz w:val="32"/>
          <w:szCs w:val="32"/>
        </w:rPr>
        <w:t>，申扎县</w:t>
      </w:r>
      <w:r w:rsidR="00CB5C1E">
        <w:rPr>
          <w:rFonts w:ascii="仿宋_GB2312" w:eastAsia="仿宋_GB2312" w:hAnsi="宋体" w:cs="宋体" w:hint="eastAsia"/>
          <w:sz w:val="32"/>
          <w:szCs w:val="32"/>
        </w:rPr>
        <w:t>信访局</w:t>
      </w:r>
      <w:r w:rsidR="00182BE7">
        <w:rPr>
          <w:rFonts w:ascii="仿宋_GB2312" w:eastAsia="仿宋_GB2312" w:hAnsi="宋体" w:cs="宋体" w:hint="eastAsia"/>
          <w:sz w:val="32"/>
          <w:szCs w:val="32"/>
        </w:rPr>
        <w:t>收支预算总体情况主要有以下</w:t>
      </w:r>
      <w:r w:rsidR="00182BE7">
        <w:rPr>
          <w:rFonts w:ascii="仿宋_GB2312" w:eastAsia="仿宋_GB2312" w:hAnsi="宋体" w:cs="宋体" w:hint="eastAsia"/>
          <w:sz w:val="32"/>
          <w:szCs w:val="32"/>
        </w:rPr>
        <w:lastRenderedPageBreak/>
        <w:t>几点：工资福利支出</w:t>
      </w:r>
      <w:r w:rsidRPr="00DF3BED">
        <w:rPr>
          <w:rFonts w:ascii="仿宋_GB2312" w:eastAsia="仿宋_GB2312" w:hAnsi="宋体" w:cs="宋体"/>
          <w:sz w:val="32"/>
          <w:szCs w:val="32"/>
        </w:rPr>
        <w:t>393828</w:t>
      </w:r>
      <w:r w:rsidR="00182BE7">
        <w:rPr>
          <w:rFonts w:ascii="仿宋_GB2312" w:eastAsia="仿宋_GB2312" w:hAnsi="宋体" w:cs="宋体" w:hint="eastAsia"/>
          <w:sz w:val="32"/>
          <w:szCs w:val="32"/>
        </w:rPr>
        <w:t>元；商品和服务支出</w:t>
      </w:r>
      <w:r>
        <w:rPr>
          <w:rFonts w:ascii="仿宋_GB2312" w:eastAsia="仿宋_GB2312" w:hAnsi="宋体" w:cs="宋体" w:hint="eastAsia"/>
          <w:sz w:val="32"/>
          <w:szCs w:val="32"/>
        </w:rPr>
        <w:t>48000</w:t>
      </w:r>
      <w:r w:rsidR="00182BE7">
        <w:rPr>
          <w:rFonts w:ascii="仿宋_GB2312" w:eastAsia="仿宋_GB2312" w:hAnsi="宋体" w:cs="宋体" w:hint="eastAsia"/>
          <w:sz w:val="32"/>
          <w:szCs w:val="32"/>
        </w:rPr>
        <w:t>元；行政事业性项目支出</w:t>
      </w:r>
      <w:r w:rsidR="00CB5C1E">
        <w:rPr>
          <w:rFonts w:ascii="仿宋_GB2312" w:eastAsia="仿宋_GB2312" w:hAnsi="宋体" w:cs="宋体" w:hint="eastAsia"/>
          <w:sz w:val="32"/>
          <w:szCs w:val="32"/>
        </w:rPr>
        <w:t>5000</w:t>
      </w:r>
      <w:r w:rsidR="00182BE7">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DF3BED"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2017</w:t>
      </w:r>
      <w:r w:rsidR="00182BE7" w:rsidRPr="00B32B3D">
        <w:rPr>
          <w:rFonts w:ascii="仿宋_GB2312" w:eastAsia="仿宋_GB2312" w:hAnsi="宋体" w:cs="宋体" w:hint="eastAsia"/>
          <w:sz w:val="32"/>
          <w:szCs w:val="32"/>
        </w:rPr>
        <w:t>年度，申扎县</w:t>
      </w:r>
      <w:r w:rsidR="00CB5C1E">
        <w:rPr>
          <w:rFonts w:ascii="仿宋_GB2312" w:eastAsia="仿宋_GB2312" w:hAnsi="宋体" w:cs="宋体" w:hint="eastAsia"/>
          <w:sz w:val="32"/>
          <w:szCs w:val="32"/>
        </w:rPr>
        <w:t>信访局</w:t>
      </w:r>
      <w:r w:rsidR="00182BE7"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DF3BED" w:rsidRDefault="00DF3BED"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2017</w:t>
      </w:r>
      <w:r w:rsidR="00182BE7" w:rsidRPr="00CA0D2E">
        <w:rPr>
          <w:rFonts w:ascii="仿宋_GB2312" w:eastAsia="仿宋_GB2312" w:hAnsi="宋体" w:cs="宋体" w:hint="eastAsia"/>
          <w:sz w:val="32"/>
          <w:szCs w:val="32"/>
        </w:rPr>
        <w:t>年度</w:t>
      </w:r>
      <w:r w:rsidR="00182BE7">
        <w:rPr>
          <w:rFonts w:ascii="仿宋_GB2312" w:eastAsia="仿宋_GB2312" w:hAnsi="宋体" w:cs="宋体" w:hint="eastAsia"/>
          <w:sz w:val="32"/>
          <w:szCs w:val="32"/>
        </w:rPr>
        <w:t>，申扎县</w:t>
      </w:r>
      <w:r w:rsidR="00CB5C1E">
        <w:rPr>
          <w:rFonts w:ascii="仿宋_GB2312" w:eastAsia="仿宋_GB2312" w:hAnsi="宋体" w:cs="宋体" w:hint="eastAsia"/>
          <w:sz w:val="32"/>
          <w:szCs w:val="32"/>
        </w:rPr>
        <w:t>信访局</w:t>
      </w:r>
      <w:r w:rsidR="00182BE7">
        <w:rPr>
          <w:rFonts w:ascii="仿宋_GB2312" w:eastAsia="仿宋_GB2312" w:hAnsi="宋体" w:cs="宋体" w:hint="eastAsia"/>
          <w:sz w:val="32"/>
          <w:szCs w:val="32"/>
        </w:rPr>
        <w:t>收支预算总体情况主要有以下几点：</w:t>
      </w:r>
      <w:r>
        <w:rPr>
          <w:rFonts w:ascii="仿宋_GB2312" w:eastAsia="仿宋_GB2312" w:hAnsi="宋体" w:cs="宋体" w:hint="eastAsia"/>
          <w:sz w:val="32"/>
          <w:szCs w:val="32"/>
        </w:rPr>
        <w:t>：工资福利支出</w:t>
      </w:r>
      <w:r w:rsidRPr="00DF3BED">
        <w:rPr>
          <w:rFonts w:ascii="仿宋_GB2312" w:eastAsia="仿宋_GB2312" w:hAnsi="宋体" w:cs="宋体"/>
          <w:sz w:val="32"/>
          <w:szCs w:val="32"/>
        </w:rPr>
        <w:t>393828</w:t>
      </w:r>
      <w:r>
        <w:rPr>
          <w:rFonts w:ascii="仿宋_GB2312" w:eastAsia="仿宋_GB2312" w:hAnsi="宋体" w:cs="宋体" w:hint="eastAsia"/>
          <w:sz w:val="32"/>
          <w:szCs w:val="32"/>
        </w:rPr>
        <w:t>元；商品和服务支出48000元；行政事业性项目支出5000元。</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182BE7" w:rsidRPr="00642963" w:rsidRDefault="00BD3F16" w:rsidP="00BD3F1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机关运行经费</w:t>
      </w:r>
      <w:r w:rsidR="00CB5C1E" w:rsidRPr="00CB5C1E">
        <w:rPr>
          <w:rFonts w:ascii="仿宋_GB2312" w:eastAsia="仿宋_GB2312" w:hAnsi="宋体" w:cs="宋体" w:hint="eastAsia"/>
          <w:sz w:val="32"/>
          <w:szCs w:val="32"/>
        </w:rPr>
        <w:t>48000元：其中，办公费5275.8元、印刷费1758.6元、手续费1758.6元、公用水费450元、公用电费1260元、邮电费3517.2元、差旅费7034.4元、取暖费10920元、公务车辆运行维护费7034.4元、维修（护）费5275.8元、福利费198元、其他商品与服务支出3517.2元；</w:t>
      </w:r>
    </w:p>
    <w:p w:rsidR="00182BE7" w:rsidRPr="00642963"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lastRenderedPageBreak/>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部门</w:t>
      </w:r>
      <w:r w:rsidRPr="00F9614C">
        <w:rPr>
          <w:rFonts w:ascii="仿宋_GB2312" w:eastAsia="仿宋_GB2312" w:hAnsi="宋体" w:cs="宋体"/>
          <w:sz w:val="32"/>
          <w:szCs w:val="32"/>
        </w:rPr>
        <w:t>当年拨付的资金。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40" w:rsidRDefault="00CC0340" w:rsidP="00182BE7">
      <w:r>
        <w:separator/>
      </w:r>
    </w:p>
  </w:endnote>
  <w:endnote w:type="continuationSeparator" w:id="0">
    <w:p w:rsidR="00CC0340" w:rsidRDefault="00CC0340"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CC03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0A43B4">
      <w:rPr>
        <w:rStyle w:val="a5"/>
        <w:noProof/>
        <w:sz w:val="24"/>
        <w:szCs w:val="24"/>
      </w:rPr>
      <w:t>5</w:t>
    </w:r>
    <w:r w:rsidRPr="00005BCF">
      <w:rPr>
        <w:rStyle w:val="a5"/>
        <w:sz w:val="24"/>
        <w:szCs w:val="24"/>
      </w:rPr>
      <w:fldChar w:fldCharType="end"/>
    </w:r>
  </w:p>
  <w:p w:rsidR="00F50831" w:rsidRDefault="00CC03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40" w:rsidRDefault="00CC0340" w:rsidP="00182BE7">
      <w:r>
        <w:separator/>
      </w:r>
    </w:p>
  </w:footnote>
  <w:footnote w:type="continuationSeparator" w:id="0">
    <w:p w:rsidR="00CC0340" w:rsidRDefault="00CC0340"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CC0340"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A43B4"/>
    <w:rsid w:val="00182BE7"/>
    <w:rsid w:val="00283A9E"/>
    <w:rsid w:val="003316E4"/>
    <w:rsid w:val="003750D2"/>
    <w:rsid w:val="003859FB"/>
    <w:rsid w:val="005B6271"/>
    <w:rsid w:val="008C1747"/>
    <w:rsid w:val="008D2B97"/>
    <w:rsid w:val="00AA1BA1"/>
    <w:rsid w:val="00BD3F16"/>
    <w:rsid w:val="00CB5C1E"/>
    <w:rsid w:val="00CC0340"/>
    <w:rsid w:val="00CC7794"/>
    <w:rsid w:val="00CF7F35"/>
    <w:rsid w:val="00D06FF1"/>
    <w:rsid w:val="00DF3BED"/>
    <w:rsid w:val="00D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6697">
      <w:bodyDiv w:val="1"/>
      <w:marLeft w:val="0"/>
      <w:marRight w:val="0"/>
      <w:marTop w:val="0"/>
      <w:marBottom w:val="0"/>
      <w:divBdr>
        <w:top w:val="none" w:sz="0" w:space="0" w:color="auto"/>
        <w:left w:val="none" w:sz="0" w:space="0" w:color="auto"/>
        <w:bottom w:val="none" w:sz="0" w:space="0" w:color="auto"/>
        <w:right w:val="none" w:sz="0" w:space="0" w:color="auto"/>
      </w:divBdr>
    </w:div>
    <w:div w:id="765538160">
      <w:bodyDiv w:val="1"/>
      <w:marLeft w:val="0"/>
      <w:marRight w:val="0"/>
      <w:marTop w:val="0"/>
      <w:marBottom w:val="0"/>
      <w:divBdr>
        <w:top w:val="none" w:sz="0" w:space="0" w:color="auto"/>
        <w:left w:val="none" w:sz="0" w:space="0" w:color="auto"/>
        <w:bottom w:val="none" w:sz="0" w:space="0" w:color="auto"/>
        <w:right w:val="none" w:sz="0" w:space="0" w:color="auto"/>
      </w:divBdr>
    </w:div>
    <w:div w:id="10704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nmyj</cp:lastModifiedBy>
  <cp:revision>6</cp:revision>
  <dcterms:created xsi:type="dcterms:W3CDTF">2018-05-31T14:15:00Z</dcterms:created>
  <dcterms:modified xsi:type="dcterms:W3CDTF">2018-12-19T01:29:00Z</dcterms:modified>
</cp:coreProperties>
</file>