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8C1747" w:rsidP="00182BE7">
      <w:pPr>
        <w:spacing w:line="640" w:lineRule="exact"/>
        <w:jc w:val="center"/>
        <w:rPr>
          <w:rFonts w:ascii="黑体" w:eastAsia="黑体"/>
          <w:b/>
          <w:sz w:val="52"/>
          <w:szCs w:val="52"/>
        </w:rPr>
      </w:pPr>
      <w:r>
        <w:rPr>
          <w:rFonts w:ascii="黑体" w:eastAsia="黑体" w:hint="eastAsia"/>
          <w:b/>
          <w:sz w:val="52"/>
          <w:szCs w:val="52"/>
        </w:rPr>
        <w:t>检察院</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8C1747">
        <w:rPr>
          <w:rFonts w:ascii="黑体" w:eastAsia="黑体" w:hAnsi="宋体" w:hint="eastAsia"/>
          <w:sz w:val="32"/>
          <w:szCs w:val="32"/>
        </w:rPr>
        <w:t>检察院</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8C1747">
        <w:rPr>
          <w:rFonts w:ascii="黑体" w:eastAsia="黑体" w:hAnsi="宋体" w:hint="eastAsia"/>
          <w:sz w:val="32"/>
          <w:szCs w:val="32"/>
        </w:rPr>
        <w:t>检察院</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8C1747">
        <w:rPr>
          <w:rFonts w:ascii="黑体" w:eastAsia="黑体" w:hAnsi="宋体" w:hint="eastAsia"/>
          <w:sz w:val="32"/>
          <w:szCs w:val="32"/>
        </w:rPr>
        <w:t>检察院</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8C1747" w:rsidP="00182BE7">
      <w:pPr>
        <w:spacing w:line="460" w:lineRule="exact"/>
        <w:jc w:val="center"/>
        <w:rPr>
          <w:rFonts w:ascii="黑体" w:eastAsia="黑体" w:hAnsi="宋体"/>
          <w:sz w:val="44"/>
          <w:szCs w:val="44"/>
        </w:rPr>
      </w:pPr>
      <w:r>
        <w:rPr>
          <w:rFonts w:ascii="黑体" w:eastAsia="黑体" w:hAnsi="宋体" w:hint="eastAsia"/>
          <w:sz w:val="44"/>
          <w:szCs w:val="44"/>
        </w:rPr>
        <w:t>检察院</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182BE7" w:rsidRPr="0030130F" w:rsidRDefault="00182BE7" w:rsidP="00182BE7">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BD3F16">
        <w:rPr>
          <w:rFonts w:ascii="仿宋" w:eastAsia="仿宋" w:hAnsi="仿宋" w:cs="仿宋" w:hint="eastAsia"/>
          <w:sz w:val="32"/>
          <w:szCs w:val="32"/>
        </w:rPr>
        <w:t>执行国家法律法规，贯彻落实上级人民检察院、同级党委工作部署，制定检察工作目标，完成各项检察工作任务。</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BD3F16">
        <w:rPr>
          <w:rFonts w:ascii="仿宋" w:eastAsia="仿宋" w:hAnsi="仿宋" w:cs="仿宋" w:hint="eastAsia"/>
          <w:sz w:val="32"/>
          <w:szCs w:val="32"/>
        </w:rPr>
        <w:t>依法办理审查批准逮捕、决定逮捕案件，实施立案侦查监督、侦查活动监督。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BD3F16">
        <w:rPr>
          <w:rFonts w:ascii="仿宋" w:eastAsia="仿宋" w:hAnsi="仿宋" w:cs="仿宋" w:hint="eastAsia"/>
          <w:sz w:val="32"/>
          <w:szCs w:val="32"/>
        </w:rPr>
        <w:t>依法办理审查起诉、提起公诉、抗诉案件，对人民法院刑事审判活动实行监督工作。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BD3F16">
        <w:rPr>
          <w:rFonts w:ascii="仿宋" w:eastAsia="仿宋" w:hAnsi="仿宋" w:cs="仿宋" w:hint="eastAsia"/>
          <w:sz w:val="32"/>
          <w:szCs w:val="32"/>
        </w:rPr>
        <w:t>对刑罚执行和监督活动实行监督，维护刑罚执行和监督活动的公平公正，维护监管秩序稳定。</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sidRPr="00BD3F16">
        <w:rPr>
          <w:rFonts w:ascii="仿宋" w:eastAsia="仿宋" w:hAnsi="仿宋" w:cs="仿宋" w:hint="eastAsia"/>
          <w:sz w:val="32"/>
          <w:szCs w:val="32"/>
        </w:rPr>
        <w:t>受理公民的报案、举报、控告和刑事申诉，依法处理举报线索，办理刑事申诉、国家赔偿、司法救助案件。</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sidRPr="00BD3F16">
        <w:rPr>
          <w:rFonts w:ascii="仿宋" w:eastAsia="仿宋" w:hAnsi="仿宋" w:cs="仿宋" w:hint="eastAsia"/>
          <w:sz w:val="32"/>
          <w:szCs w:val="32"/>
        </w:rPr>
        <w:t>对人民法院民事诉讼和行政诉讼实行法律监督。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7、</w:t>
      </w:r>
      <w:r w:rsidRPr="00BD3F16">
        <w:rPr>
          <w:rFonts w:ascii="仿宋" w:eastAsia="仿宋" w:hAnsi="仿宋" w:cs="仿宋" w:hint="eastAsia"/>
          <w:sz w:val="32"/>
          <w:szCs w:val="32"/>
        </w:rPr>
        <w:t>开展涉及生态环境保护的检察工作。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sidRPr="00BD3F16">
        <w:rPr>
          <w:rFonts w:ascii="仿宋" w:eastAsia="仿宋" w:hAnsi="仿宋" w:cs="仿宋" w:hint="eastAsia"/>
          <w:sz w:val="32"/>
          <w:szCs w:val="32"/>
        </w:rPr>
        <w:t>开展未成年人检察工作。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9、</w:t>
      </w:r>
      <w:r w:rsidRPr="00BD3F16">
        <w:rPr>
          <w:rFonts w:ascii="仿宋" w:eastAsia="仿宋" w:hAnsi="仿宋" w:cs="仿宋" w:hint="eastAsia"/>
          <w:sz w:val="32"/>
          <w:szCs w:val="32"/>
        </w:rPr>
        <w:t>负责检察队伍建设和思想政治工作，对检察人员进</w:t>
      </w:r>
      <w:r w:rsidRPr="00BD3F16">
        <w:rPr>
          <w:rFonts w:ascii="仿宋" w:eastAsia="仿宋" w:hAnsi="仿宋" w:cs="仿宋" w:hint="eastAsia"/>
          <w:sz w:val="32"/>
          <w:szCs w:val="32"/>
        </w:rPr>
        <w:lastRenderedPageBreak/>
        <w:t>行教育培训，负责检察机关党的思想、组织、作风建设。</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BD3F16">
        <w:rPr>
          <w:rFonts w:ascii="仿宋" w:eastAsia="仿宋" w:hAnsi="仿宋" w:cs="仿宋" w:hint="eastAsia"/>
          <w:sz w:val="32"/>
          <w:szCs w:val="32"/>
        </w:rPr>
        <w:t>按照干部管理权限，协同地方党委、上级人民检察院管理本院检察人员提请本级人民代表大会常务委员会决定任免副检察长、检委会委员。</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11、</w:t>
      </w:r>
      <w:r w:rsidRPr="00BD3F16">
        <w:rPr>
          <w:rFonts w:ascii="仿宋" w:eastAsia="仿宋" w:hAnsi="仿宋" w:cs="仿宋" w:hint="eastAsia"/>
          <w:sz w:val="32"/>
          <w:szCs w:val="32"/>
        </w:rPr>
        <w:t>规划落实检察机关财物装备工作，开展检察机关信息化建设、检查技术工作。</w:t>
      </w:r>
    </w:p>
    <w:p w:rsidR="00182BE7" w:rsidRPr="00AC2F74" w:rsidRDefault="00BD3F16" w:rsidP="00BD3F16">
      <w:pPr>
        <w:ind w:firstLineChars="200" w:firstLine="640"/>
        <w:jc w:val="left"/>
        <w:rPr>
          <w:rFonts w:ascii="仿宋_GB2312" w:eastAsia="仿宋_GB2312"/>
          <w:sz w:val="32"/>
          <w:szCs w:val="32"/>
        </w:rPr>
      </w:pPr>
      <w:r>
        <w:rPr>
          <w:rFonts w:ascii="仿宋" w:eastAsia="仿宋" w:hAnsi="仿宋" w:cs="仿宋" w:hint="eastAsia"/>
          <w:sz w:val="32"/>
          <w:szCs w:val="32"/>
        </w:rPr>
        <w:t>12、</w:t>
      </w:r>
      <w:r w:rsidRPr="00BD3F16">
        <w:rPr>
          <w:rFonts w:ascii="仿宋" w:eastAsia="仿宋" w:hAnsi="仿宋" w:cs="仿宋" w:hint="eastAsia"/>
          <w:sz w:val="32"/>
          <w:szCs w:val="32"/>
        </w:rPr>
        <w:t>负责其他应当由本院承办的事项。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Default="00BD3F16" w:rsidP="00182BE7">
      <w:pPr>
        <w:ind w:firstLine="803"/>
        <w:rPr>
          <w:rFonts w:ascii="仿宋_GB2312" w:eastAsia="仿宋_GB2312"/>
          <w:sz w:val="32"/>
          <w:szCs w:val="32"/>
        </w:rPr>
      </w:pPr>
      <w:r>
        <w:rPr>
          <w:rFonts w:ascii="仿宋" w:eastAsia="仿宋" w:hAnsi="仿宋" w:cs="仿宋" w:hint="eastAsia"/>
          <w:sz w:val="32"/>
          <w:szCs w:val="32"/>
        </w:rPr>
        <w:t>办公室、公诉科、侦查监督科、刑事执行检察局。</w:t>
      </w:r>
    </w:p>
    <w:p w:rsidR="00182BE7" w:rsidRPr="00B97D4E" w:rsidRDefault="00182BE7" w:rsidP="00182BE7">
      <w:pPr>
        <w:spacing w:line="460" w:lineRule="exact"/>
        <w:jc w:val="center"/>
        <w:rPr>
          <w:rFonts w:ascii="黑体" w:eastAsia="黑体"/>
          <w:sz w:val="44"/>
          <w:szCs w:val="44"/>
        </w:rPr>
      </w:pPr>
      <w:r>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8C1747" w:rsidP="00182BE7">
      <w:pPr>
        <w:spacing w:line="460" w:lineRule="exact"/>
        <w:jc w:val="center"/>
        <w:rPr>
          <w:rFonts w:ascii="黑体" w:eastAsia="黑体"/>
          <w:sz w:val="44"/>
          <w:szCs w:val="44"/>
        </w:rPr>
      </w:pPr>
      <w:r>
        <w:rPr>
          <w:rFonts w:ascii="黑体" w:eastAsia="黑体" w:hAnsi="宋体" w:hint="eastAsia"/>
          <w:sz w:val="44"/>
          <w:szCs w:val="44"/>
        </w:rPr>
        <w:t>检察院</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8C1747"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检察院</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BD3F16">
        <w:rPr>
          <w:rFonts w:ascii="仿宋_GB2312" w:eastAsia="仿宋_GB2312" w:hAnsi="宋体" w:cs="宋体" w:hint="eastAsia"/>
          <w:sz w:val="32"/>
          <w:szCs w:val="32"/>
        </w:rPr>
        <w:t>2040501</w:t>
      </w:r>
      <w:r>
        <w:rPr>
          <w:rFonts w:ascii="仿宋_GB2312" w:eastAsia="仿宋_GB2312" w:hAnsi="宋体" w:cs="宋体" w:hint="eastAsia"/>
          <w:sz w:val="32"/>
          <w:szCs w:val="32"/>
        </w:rPr>
        <w:t>行政运行</w:t>
      </w:r>
      <w:r w:rsidR="00BD3F16">
        <w:rPr>
          <w:rFonts w:ascii="仿宋_GB2312" w:eastAsia="仿宋_GB2312" w:hAnsi="宋体" w:cs="宋体" w:hint="eastAsia"/>
          <w:sz w:val="32"/>
          <w:szCs w:val="32"/>
        </w:rPr>
        <w:t>3682918</w:t>
      </w:r>
      <w:r>
        <w:rPr>
          <w:rFonts w:ascii="仿宋_GB2312" w:eastAsia="仿宋_GB2312" w:hAnsi="宋体" w:cs="宋体" w:hint="eastAsia"/>
          <w:sz w:val="32"/>
          <w:szCs w:val="32"/>
        </w:rPr>
        <w:t>元</w:t>
      </w:r>
    </w:p>
    <w:p w:rsidR="00182BE7" w:rsidRPr="00B97D4E" w:rsidRDefault="00182BE7"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2、</w:t>
      </w:r>
      <w:r w:rsidR="00BD3F16">
        <w:rPr>
          <w:rFonts w:ascii="仿宋_GB2312" w:eastAsia="仿宋_GB2312" w:hAnsi="宋体" w:cs="宋体" w:hint="eastAsia"/>
          <w:sz w:val="32"/>
          <w:szCs w:val="32"/>
        </w:rPr>
        <w:t>2040599</w:t>
      </w:r>
      <w:r>
        <w:rPr>
          <w:rFonts w:ascii="仿宋_GB2312" w:eastAsia="仿宋_GB2312" w:hAnsi="宋体" w:cs="宋体" w:hint="eastAsia"/>
          <w:sz w:val="32"/>
          <w:szCs w:val="32"/>
        </w:rPr>
        <w:t>其他纪检监察事物支出</w:t>
      </w:r>
      <w:r w:rsidR="00BD3F16">
        <w:rPr>
          <w:rFonts w:ascii="仿宋_GB2312" w:eastAsia="仿宋_GB2312" w:hAnsi="宋体" w:cs="宋体" w:hint="eastAsia"/>
          <w:sz w:val="32"/>
          <w:szCs w:val="32"/>
        </w:rPr>
        <w:t>202800</w:t>
      </w:r>
      <w:r>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lastRenderedPageBreak/>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BD3F16" w:rsidP="00BD3F16">
      <w:pPr>
        <w:spacing w:line="560" w:lineRule="exact"/>
        <w:ind w:firstLineChars="196" w:firstLine="627"/>
        <w:rPr>
          <w:rFonts w:ascii="仿宋_GB2312" w:eastAsia="仿宋_GB2312" w:hAnsi="宋体" w:cs="宋体"/>
          <w:sz w:val="32"/>
          <w:szCs w:val="32"/>
        </w:rPr>
      </w:pPr>
      <w:r w:rsidRPr="00BD3F16">
        <w:rPr>
          <w:rFonts w:ascii="仿宋_GB2312" w:eastAsia="仿宋_GB2312" w:hAnsi="宋体" w:cs="宋体" w:hint="eastAsia"/>
          <w:sz w:val="32"/>
          <w:szCs w:val="32"/>
        </w:rPr>
        <w:t>经费总计423708元：（1）、公用经费为302508其中，办公费44136元、印刷费14712元、手续费14712元、水费1950元、电费5460元、邮电费29424元、差旅费58848元、维修（护）费44136元</w:t>
      </w:r>
      <w:r w:rsidR="00BD6F6C">
        <w:rPr>
          <w:rFonts w:ascii="仿宋_GB2312" w:eastAsia="仿宋_GB2312" w:hAnsi="宋体" w:cs="宋体" w:hint="eastAsia"/>
          <w:sz w:val="32"/>
          <w:szCs w:val="32"/>
        </w:rPr>
        <w:t>、</w:t>
      </w:r>
      <w:bookmarkStart w:id="0" w:name="_GoBack"/>
      <w:bookmarkEnd w:id="0"/>
      <w:r w:rsidR="00BD6F6C" w:rsidRPr="00BD6F6C">
        <w:rPr>
          <w:rFonts w:ascii="仿宋_GB2312" w:eastAsia="仿宋_GB2312" w:hAnsi="宋体" w:cs="宋体" w:hint="eastAsia"/>
          <w:sz w:val="32"/>
          <w:szCs w:val="32"/>
        </w:rPr>
        <w:t>公务车辆运行维护费58848元</w:t>
      </w:r>
      <w:r w:rsidRPr="00BD3F16">
        <w:rPr>
          <w:rFonts w:ascii="仿宋_GB2312" w:eastAsia="仿宋_GB2312" w:hAnsi="宋体" w:cs="宋体" w:hint="eastAsia"/>
          <w:sz w:val="32"/>
          <w:szCs w:val="32"/>
        </w:rPr>
        <w:t>、福利费858元、其他商品与服务支出29424元、（2）专项经费为121200元：其中：休假包干经费106200元、副科级干部以上通讯费15000元；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BD3F16" w:rsidP="00BD3F16">
      <w:pPr>
        <w:spacing w:line="560" w:lineRule="exact"/>
        <w:ind w:firstLineChars="200" w:firstLine="640"/>
        <w:rPr>
          <w:rFonts w:ascii="仿宋_GB2312" w:eastAsia="仿宋_GB2312" w:hAnsi="宋体" w:cs="宋体"/>
          <w:sz w:val="32"/>
          <w:szCs w:val="32"/>
        </w:rPr>
      </w:pPr>
      <w:r w:rsidRPr="00BD3F16">
        <w:rPr>
          <w:rFonts w:ascii="仿宋_GB2312" w:eastAsia="仿宋_GB2312" w:hAnsi="宋体" w:cs="宋体" w:hint="eastAsia"/>
          <w:sz w:val="32"/>
          <w:szCs w:val="32"/>
        </w:rPr>
        <w:t>公务车辆运行维护费58848</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我部门2018年度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8C1747">
        <w:rPr>
          <w:rFonts w:ascii="仿宋_GB2312" w:eastAsia="仿宋_GB2312" w:hAnsi="宋体" w:cs="宋体" w:hint="eastAsia"/>
          <w:sz w:val="32"/>
          <w:szCs w:val="32"/>
        </w:rPr>
        <w:t>检察院</w:t>
      </w:r>
      <w:r>
        <w:rPr>
          <w:rFonts w:ascii="仿宋_GB2312" w:eastAsia="仿宋_GB2312" w:hAnsi="宋体" w:cs="宋体" w:hint="eastAsia"/>
          <w:sz w:val="32"/>
          <w:szCs w:val="32"/>
        </w:rPr>
        <w:t>收支预算总体情况主要有以下几点：工资福利支出</w:t>
      </w:r>
      <w:r w:rsidR="00BD3F16">
        <w:rPr>
          <w:rFonts w:ascii="仿宋_GB2312" w:eastAsia="仿宋_GB2312" w:hAnsi="宋体" w:cs="宋体" w:hint="eastAsia"/>
          <w:sz w:val="32"/>
          <w:szCs w:val="32"/>
        </w:rPr>
        <w:t>2396733</w:t>
      </w:r>
      <w:r>
        <w:rPr>
          <w:rFonts w:ascii="仿宋_GB2312" w:eastAsia="仿宋_GB2312" w:hAnsi="宋体" w:cs="宋体" w:hint="eastAsia"/>
          <w:sz w:val="32"/>
          <w:szCs w:val="32"/>
        </w:rPr>
        <w:t>元；商品和服务支出</w:t>
      </w:r>
      <w:r w:rsidR="00BD3F16">
        <w:rPr>
          <w:rFonts w:ascii="仿宋_GB2312" w:eastAsia="仿宋_GB2312" w:hAnsi="宋体" w:cs="宋体" w:hint="eastAsia"/>
          <w:sz w:val="32"/>
          <w:szCs w:val="32"/>
        </w:rPr>
        <w:t>302508</w:t>
      </w:r>
      <w:r>
        <w:rPr>
          <w:rFonts w:ascii="仿宋_GB2312" w:eastAsia="仿宋_GB2312" w:hAnsi="宋体" w:cs="宋体" w:hint="eastAsia"/>
          <w:sz w:val="32"/>
          <w:szCs w:val="32"/>
        </w:rPr>
        <w:t>元；行政事业性项目支出</w:t>
      </w:r>
      <w:r w:rsidR="00BD3F16">
        <w:rPr>
          <w:rFonts w:ascii="仿宋_GB2312" w:eastAsia="仿宋_GB2312" w:hAnsi="宋体" w:cs="宋体" w:hint="eastAsia"/>
          <w:sz w:val="32"/>
          <w:szCs w:val="32"/>
        </w:rPr>
        <w:t>121200</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8C1747">
        <w:rPr>
          <w:rFonts w:ascii="仿宋_GB2312" w:eastAsia="仿宋_GB2312" w:hAnsi="宋体" w:cs="宋体" w:hint="eastAsia"/>
          <w:sz w:val="32"/>
          <w:szCs w:val="32"/>
        </w:rPr>
        <w:t>检察院</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8C1747">
        <w:rPr>
          <w:rFonts w:ascii="仿宋_GB2312" w:eastAsia="仿宋_GB2312" w:hAnsi="宋体" w:cs="宋体" w:hint="eastAsia"/>
          <w:sz w:val="32"/>
          <w:szCs w:val="32"/>
        </w:rPr>
        <w:t>检察院</w:t>
      </w:r>
      <w:r>
        <w:rPr>
          <w:rFonts w:ascii="仿宋_GB2312" w:eastAsia="仿宋_GB2312" w:hAnsi="宋体" w:cs="宋体" w:hint="eastAsia"/>
          <w:sz w:val="32"/>
          <w:szCs w:val="32"/>
        </w:rPr>
        <w:t>收支预算总体情况主要有以下几点：工资福利支出</w:t>
      </w:r>
      <w:r w:rsidR="00BD3F16">
        <w:rPr>
          <w:rFonts w:ascii="仿宋_GB2312" w:eastAsia="仿宋_GB2312" w:hAnsi="宋体" w:cs="宋体" w:hint="eastAsia"/>
          <w:sz w:val="32"/>
          <w:szCs w:val="32"/>
        </w:rPr>
        <w:t>2396733</w:t>
      </w:r>
      <w:r>
        <w:rPr>
          <w:rFonts w:ascii="仿宋_GB2312" w:eastAsia="仿宋_GB2312" w:hAnsi="宋体" w:cs="宋体" w:hint="eastAsia"/>
          <w:sz w:val="32"/>
          <w:szCs w:val="32"/>
        </w:rPr>
        <w:t>元；商品和服务支出</w:t>
      </w:r>
      <w:r w:rsidR="00BD3F16">
        <w:rPr>
          <w:rFonts w:ascii="仿宋_GB2312" w:eastAsia="仿宋_GB2312" w:hAnsi="宋体" w:cs="宋体" w:hint="eastAsia"/>
          <w:sz w:val="32"/>
          <w:szCs w:val="32"/>
        </w:rPr>
        <w:t>302508</w:t>
      </w:r>
      <w:r>
        <w:rPr>
          <w:rFonts w:ascii="仿宋_GB2312" w:eastAsia="仿宋_GB2312" w:hAnsi="宋体" w:cs="宋体" w:hint="eastAsia"/>
          <w:sz w:val="32"/>
          <w:szCs w:val="32"/>
        </w:rPr>
        <w:t>元；行政事业性项目支出</w:t>
      </w:r>
      <w:r w:rsidR="00BD3F16">
        <w:rPr>
          <w:rFonts w:ascii="仿宋_GB2312" w:eastAsia="仿宋_GB2312" w:hAnsi="宋体" w:cs="宋体" w:hint="eastAsia"/>
          <w:sz w:val="32"/>
          <w:szCs w:val="32"/>
        </w:rPr>
        <w:t>121200</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BD3F16"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机关运行经费</w:t>
      </w:r>
      <w:r w:rsidRPr="00BD3F16">
        <w:rPr>
          <w:rFonts w:ascii="仿宋_GB2312" w:eastAsia="仿宋_GB2312" w:hAnsi="宋体" w:cs="宋体" w:hint="eastAsia"/>
          <w:sz w:val="32"/>
          <w:szCs w:val="32"/>
        </w:rPr>
        <w:t>302508其中，办公费44136元、印刷费14712元、手续费14712元、水费1950元、电费5460元、邮电费29424元、差旅费58848元、维修（护）费44136元、福利费858元、其他商品与服务支出29424元、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部门</w:t>
      </w:r>
      <w:r w:rsidRPr="00F9614C">
        <w:rPr>
          <w:rFonts w:ascii="仿宋_GB2312" w:eastAsia="仿宋_GB2312" w:hAnsi="宋体" w:cs="宋体"/>
          <w:sz w:val="32"/>
          <w:szCs w:val="32"/>
        </w:rPr>
        <w:t>当年拨付的资金。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04" w:rsidRDefault="008E1504" w:rsidP="00182BE7">
      <w:r>
        <w:separator/>
      </w:r>
    </w:p>
  </w:endnote>
  <w:endnote w:type="continuationSeparator" w:id="0">
    <w:p w:rsidR="008E1504" w:rsidRDefault="008E1504"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8E15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BD6F6C">
      <w:rPr>
        <w:rStyle w:val="a5"/>
        <w:noProof/>
        <w:sz w:val="24"/>
        <w:szCs w:val="24"/>
      </w:rPr>
      <w:t>7</w:t>
    </w:r>
    <w:r w:rsidRPr="00005BCF">
      <w:rPr>
        <w:rStyle w:val="a5"/>
        <w:sz w:val="24"/>
        <w:szCs w:val="24"/>
      </w:rPr>
      <w:fldChar w:fldCharType="end"/>
    </w:r>
  </w:p>
  <w:p w:rsidR="00F50831" w:rsidRDefault="008E15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04" w:rsidRDefault="008E1504" w:rsidP="00182BE7">
      <w:r>
        <w:separator/>
      </w:r>
    </w:p>
  </w:footnote>
  <w:footnote w:type="continuationSeparator" w:id="0">
    <w:p w:rsidR="008E1504" w:rsidRDefault="008E1504"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8E1504"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83A9E"/>
    <w:rsid w:val="008C1747"/>
    <w:rsid w:val="008E1504"/>
    <w:rsid w:val="00BD3F16"/>
    <w:rsid w:val="00BD6F6C"/>
    <w:rsid w:val="00CF7F35"/>
    <w:rsid w:val="00D06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345</Words>
  <Characters>1972</Characters>
  <Application>Microsoft Office Word</Application>
  <DocSecurity>0</DocSecurity>
  <Lines>16</Lines>
  <Paragraphs>4</Paragraphs>
  <ScaleCrop>false</ScaleCrop>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2018-05-28T14:50:00Z</dcterms:created>
  <dcterms:modified xsi:type="dcterms:W3CDTF">2018-05-28T15:12:00Z</dcterms:modified>
</cp:coreProperties>
</file>